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rFonts w:ascii="Times New Roman"/>
          <w:sz w:val="12"/>
        </w:rPr>
      </w:pPr>
      <w:r>
        <w:rPr/>
        <w:pict>
          <v:line style="position:absolute;mso-position-horizontal-relative:page;mso-position-vertical-relative:page;z-index:1024" from="16.559999pt,576.840027pt" to="775.439999pt,576.840027pt" stroked="true" strokeweight=".48pt" strokecolor="#00778b">
            <v:stroke dashstyle="solid"/>
            <w10:wrap type="none"/>
          </v:line>
        </w:pict>
      </w:r>
    </w:p>
    <w:p>
      <w:pPr>
        <w:spacing w:before="89"/>
        <w:ind w:left="464" w:right="0" w:firstLine="0"/>
        <w:jc w:val="left"/>
        <w:rPr>
          <w:b/>
          <w:sz w:val="32"/>
        </w:rPr>
      </w:pPr>
      <w:r>
        <w:rPr>
          <w:b/>
          <w:color w:val="666666"/>
          <w:sz w:val="32"/>
        </w:rPr>
        <w:t>Job Aid: PayPath Transactions – Action Codes, Reason Codes and Descriptions (Academic)</w:t>
      </w:r>
    </w:p>
    <w:p>
      <w:pPr>
        <w:pStyle w:val="BodyText"/>
        <w:spacing w:before="9" w:after="1"/>
        <w:rPr>
          <w:b/>
          <w:sz w:val="11"/>
        </w:rPr>
      </w:pPr>
    </w:p>
    <w:tbl>
      <w:tblPr>
        <w:tblW w:w="0" w:type="auto"/>
        <w:jc w:val="left"/>
        <w:tblInd w:w="122"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505"/>
        <w:gridCol w:w="1812"/>
        <w:gridCol w:w="3514"/>
        <w:gridCol w:w="8096"/>
      </w:tblGrid>
      <w:tr>
        <w:trPr>
          <w:trHeight w:val="465" w:hRule="atLeast"/>
        </w:trPr>
        <w:tc>
          <w:tcPr>
            <w:tcW w:w="1505" w:type="dxa"/>
            <w:tcBorders>
              <w:top w:val="nil"/>
              <w:left w:val="nil"/>
              <w:bottom w:val="nil"/>
              <w:right w:val="nil"/>
            </w:tcBorders>
            <w:shd w:val="clear" w:color="auto" w:fill="00778B"/>
          </w:tcPr>
          <w:p>
            <w:pPr>
              <w:pStyle w:val="TableParagraph"/>
              <w:spacing w:before="115"/>
              <w:ind w:left="496" w:right="489"/>
              <w:jc w:val="center"/>
              <w:rPr>
                <w:b/>
                <w:sz w:val="20"/>
              </w:rPr>
            </w:pPr>
            <w:r>
              <w:rPr>
                <w:b/>
                <w:color w:val="FFFFFF"/>
                <w:sz w:val="20"/>
              </w:rPr>
              <w:t>Page</w:t>
            </w:r>
          </w:p>
        </w:tc>
        <w:tc>
          <w:tcPr>
            <w:tcW w:w="1812" w:type="dxa"/>
            <w:tcBorders>
              <w:top w:val="nil"/>
              <w:left w:val="nil"/>
              <w:bottom w:val="nil"/>
              <w:right w:val="nil"/>
            </w:tcBorders>
            <w:shd w:val="clear" w:color="auto" w:fill="00778B"/>
          </w:tcPr>
          <w:p>
            <w:pPr>
              <w:pStyle w:val="TableParagraph"/>
              <w:spacing w:before="115"/>
              <w:ind w:left="597"/>
              <w:rPr>
                <w:b/>
                <w:sz w:val="20"/>
              </w:rPr>
            </w:pPr>
            <w:r>
              <w:rPr>
                <w:b/>
                <w:color w:val="FFFFFF"/>
                <w:sz w:val="20"/>
              </w:rPr>
              <w:t>Action</w:t>
            </w:r>
          </w:p>
        </w:tc>
        <w:tc>
          <w:tcPr>
            <w:tcW w:w="3514" w:type="dxa"/>
            <w:tcBorders>
              <w:top w:val="nil"/>
              <w:left w:val="nil"/>
              <w:bottom w:val="nil"/>
              <w:right w:val="nil"/>
            </w:tcBorders>
            <w:shd w:val="clear" w:color="auto" w:fill="00778B"/>
          </w:tcPr>
          <w:p>
            <w:pPr>
              <w:pStyle w:val="TableParagraph"/>
              <w:spacing w:before="115"/>
              <w:ind w:left="1377" w:right="1374"/>
              <w:jc w:val="center"/>
              <w:rPr>
                <w:b/>
                <w:sz w:val="20"/>
              </w:rPr>
            </w:pPr>
            <w:r>
              <w:rPr>
                <w:b/>
                <w:color w:val="FFFFFF"/>
                <w:sz w:val="20"/>
              </w:rPr>
              <w:t>Reason</w:t>
            </w:r>
          </w:p>
        </w:tc>
        <w:tc>
          <w:tcPr>
            <w:tcW w:w="8096" w:type="dxa"/>
            <w:tcBorders>
              <w:top w:val="nil"/>
              <w:left w:val="nil"/>
              <w:bottom w:val="nil"/>
              <w:right w:val="nil"/>
            </w:tcBorders>
            <w:shd w:val="clear" w:color="auto" w:fill="00778B"/>
          </w:tcPr>
          <w:p>
            <w:pPr>
              <w:pStyle w:val="TableParagraph"/>
              <w:spacing w:before="115"/>
              <w:ind w:left="3479" w:right="3475"/>
              <w:jc w:val="center"/>
              <w:rPr>
                <w:b/>
                <w:sz w:val="20"/>
              </w:rPr>
            </w:pPr>
            <w:r>
              <w:rPr>
                <w:b/>
                <w:color w:val="FFFFFF"/>
                <w:sz w:val="20"/>
              </w:rPr>
              <w:t>Description</w:t>
            </w:r>
          </w:p>
        </w:tc>
      </w:tr>
      <w:tr>
        <w:trPr>
          <w:trHeight w:val="354" w:hRule="atLeast"/>
        </w:trPr>
        <w:tc>
          <w:tcPr>
            <w:tcW w:w="1505" w:type="dxa"/>
            <w:vMerge w:val="restart"/>
          </w:tcPr>
          <w:p>
            <w:pPr>
              <w:pStyle w:val="TableParagraph"/>
              <w:spacing w:before="59"/>
              <w:rPr>
                <w:b/>
                <w:sz w:val="20"/>
              </w:rPr>
            </w:pPr>
            <w:r>
              <w:rPr>
                <w:b/>
                <w:color w:val="666666"/>
                <w:sz w:val="20"/>
              </w:rPr>
              <w:t>Position Data</w:t>
            </w:r>
          </w:p>
        </w:tc>
        <w:tc>
          <w:tcPr>
            <w:tcW w:w="1812" w:type="dxa"/>
            <w:vMerge w:val="restart"/>
          </w:tcPr>
          <w:p>
            <w:pPr>
              <w:pStyle w:val="TableParagraph"/>
              <w:spacing w:before="61"/>
              <w:ind w:right="226"/>
              <w:rPr>
                <w:sz w:val="20"/>
              </w:rPr>
            </w:pPr>
            <w:r>
              <w:rPr>
                <w:color w:val="666666"/>
                <w:sz w:val="20"/>
              </w:rPr>
              <w:t>POS – Position Change</w:t>
            </w:r>
          </w:p>
        </w:tc>
        <w:tc>
          <w:tcPr>
            <w:tcW w:w="3514" w:type="dxa"/>
          </w:tcPr>
          <w:p>
            <w:pPr>
              <w:pStyle w:val="TableParagraph"/>
              <w:spacing w:before="61"/>
              <w:rPr>
                <w:sz w:val="20"/>
              </w:rPr>
            </w:pPr>
            <w:r>
              <w:rPr>
                <w:color w:val="666666"/>
                <w:sz w:val="20"/>
              </w:rPr>
              <w:t>APU – APU Change</w:t>
            </w:r>
          </w:p>
        </w:tc>
        <w:tc>
          <w:tcPr>
            <w:tcW w:w="8096" w:type="dxa"/>
          </w:tcPr>
          <w:p>
            <w:pPr>
              <w:pStyle w:val="TableParagraph"/>
              <w:spacing w:before="61"/>
              <w:ind w:left="56"/>
              <w:rPr>
                <w:sz w:val="20"/>
              </w:rPr>
            </w:pPr>
            <w:r>
              <w:rPr>
                <w:color w:val="666666"/>
                <w:sz w:val="20"/>
              </w:rPr>
              <w:t>Used to change Academic Programmatic Unit (APU scales)</w:t>
            </w:r>
          </w:p>
        </w:tc>
      </w:tr>
      <w:tr>
        <w:trPr>
          <w:trHeight w:val="808"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CID – Change in Duty Station</w:t>
            </w:r>
          </w:p>
        </w:tc>
        <w:tc>
          <w:tcPr>
            <w:tcW w:w="8096" w:type="dxa"/>
          </w:tcPr>
          <w:p>
            <w:pPr>
              <w:pStyle w:val="TableParagraph"/>
              <w:ind w:left="56" w:right="205"/>
              <w:rPr>
                <w:sz w:val="20"/>
              </w:rPr>
            </w:pPr>
            <w:r>
              <w:rPr>
                <w:color w:val="666666"/>
                <w:sz w:val="20"/>
              </w:rPr>
              <w:t>Used to update a Location Code when a change of duty station is approved. This occurs when the faculty member's regular, ongoing, University duties must be carried out at a location other than the campus.</w:t>
            </w: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COR – Position Data Correction</w:t>
            </w:r>
          </w:p>
        </w:tc>
        <w:tc>
          <w:tcPr>
            <w:tcW w:w="8096" w:type="dxa"/>
          </w:tcPr>
          <w:p>
            <w:pPr>
              <w:pStyle w:val="TableParagraph"/>
              <w:ind w:left="56"/>
              <w:rPr>
                <w:sz w:val="20"/>
              </w:rPr>
            </w:pPr>
            <w:r>
              <w:rPr>
                <w:color w:val="666666"/>
                <w:sz w:val="20"/>
              </w:rPr>
              <w:t>Used to update Position Attributes due to data corrections.</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ERC – Update Employee Relations Code</w:t>
            </w:r>
          </w:p>
        </w:tc>
        <w:tc>
          <w:tcPr>
            <w:tcW w:w="8096" w:type="dxa"/>
          </w:tcPr>
          <w:p>
            <w:pPr>
              <w:pStyle w:val="TableParagraph"/>
              <w:ind w:left="56"/>
              <w:rPr>
                <w:sz w:val="20"/>
              </w:rPr>
            </w:pPr>
            <w:r>
              <w:rPr>
                <w:color w:val="666666"/>
                <w:sz w:val="20"/>
              </w:rPr>
              <w:t>Used to update Employee Relations Code</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FL2 – FLSA Update- Does Not Meet</w:t>
            </w:r>
          </w:p>
        </w:tc>
        <w:tc>
          <w:tcPr>
            <w:tcW w:w="8096" w:type="dxa"/>
          </w:tcPr>
          <w:p>
            <w:pPr>
              <w:pStyle w:val="TableParagraph"/>
              <w:ind w:left="56"/>
              <w:rPr>
                <w:sz w:val="20"/>
              </w:rPr>
            </w:pPr>
            <w:r>
              <w:rPr>
                <w:color w:val="666666"/>
                <w:sz w:val="20"/>
              </w:rPr>
              <w:t>Used when the employee does not meet the salary basis test and the FLSA needs to be overriden.</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FL3 – FLSA Revert</w:t>
            </w:r>
          </w:p>
        </w:tc>
        <w:tc>
          <w:tcPr>
            <w:tcW w:w="8096" w:type="dxa"/>
          </w:tcPr>
          <w:p>
            <w:pPr>
              <w:pStyle w:val="TableParagraph"/>
              <w:ind w:left="56" w:right="134"/>
              <w:rPr>
                <w:sz w:val="20"/>
              </w:rPr>
            </w:pPr>
            <w:r>
              <w:rPr>
                <w:color w:val="666666"/>
                <w:sz w:val="20"/>
              </w:rPr>
              <w:t>Used to revert the FLSA status back to default when an employee's additional/concurrent job or duel employment ends.</w:t>
            </w: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FLS – FLSA Override Due to Review</w:t>
            </w:r>
          </w:p>
        </w:tc>
        <w:tc>
          <w:tcPr>
            <w:tcW w:w="8096" w:type="dxa"/>
          </w:tcPr>
          <w:p>
            <w:pPr>
              <w:pStyle w:val="TableParagraph"/>
              <w:ind w:left="56"/>
              <w:rPr>
                <w:sz w:val="20"/>
              </w:rPr>
            </w:pPr>
            <w:r>
              <w:rPr>
                <w:color w:val="666666"/>
                <w:sz w:val="20"/>
              </w:rPr>
              <w:t>Used to update the FLSA status when an employee receives an additional/concurrent job.</w:t>
            </w:r>
          </w:p>
        </w:tc>
      </w:tr>
      <w:tr>
        <w:trPr>
          <w:trHeight w:val="1038"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FTE – Revert to Position FTE</w:t>
            </w:r>
          </w:p>
        </w:tc>
        <w:tc>
          <w:tcPr>
            <w:tcW w:w="8096" w:type="dxa"/>
          </w:tcPr>
          <w:p>
            <w:pPr>
              <w:pStyle w:val="TableParagraph"/>
              <w:ind w:left="56" w:right="205"/>
              <w:rPr>
                <w:sz w:val="20"/>
              </w:rPr>
            </w:pPr>
            <w:r>
              <w:rPr>
                <w:color w:val="666666"/>
                <w:sz w:val="20"/>
              </w:rPr>
              <w:t>Used when user wants to reconnect the Position Data FTE with Job Data FTE (if it is currently disconnected) in order for the Position FTE to control the Job Data FTE. The include FTE checkbox becomes editable, and user should check this box to ensure that the two FTEs are connected.</w:t>
            </w:r>
          </w:p>
        </w:tc>
      </w:tr>
      <w:tr>
        <w:trPr>
          <w:trHeight w:val="1619"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JFT – Job Data FTE Override</w:t>
            </w:r>
          </w:p>
        </w:tc>
        <w:tc>
          <w:tcPr>
            <w:tcW w:w="8096" w:type="dxa"/>
          </w:tcPr>
          <w:p>
            <w:pPr>
              <w:pStyle w:val="TableParagraph"/>
              <w:ind w:left="56" w:right="83"/>
              <w:rPr>
                <w:sz w:val="20"/>
              </w:rPr>
            </w:pPr>
            <w:r>
              <w:rPr>
                <w:color w:val="666666"/>
                <w:sz w:val="20"/>
              </w:rPr>
              <w:t>Used to allow the Job record to override the FTE defaulted from the Position. This would mean that the Position FTE and Job FTE will not be the same. The include FTE checkbox becomes editable, and user should ‘uncheck’ this checkbox to disconnect the two.</w:t>
            </w:r>
          </w:p>
          <w:p>
            <w:pPr>
              <w:pStyle w:val="TableParagraph"/>
              <w:spacing w:before="61"/>
              <w:ind w:left="56"/>
              <w:rPr>
                <w:sz w:val="20"/>
              </w:rPr>
            </w:pPr>
            <w:r>
              <w:rPr>
                <w:color w:val="666666"/>
                <w:sz w:val="20"/>
              </w:rPr>
              <w:t>Example:</w:t>
            </w:r>
          </w:p>
          <w:p>
            <w:pPr>
              <w:pStyle w:val="TableParagraph"/>
              <w:spacing w:before="61"/>
              <w:ind w:left="56" w:right="128"/>
              <w:rPr>
                <w:sz w:val="20"/>
              </w:rPr>
            </w:pPr>
            <w:r>
              <w:rPr>
                <w:color w:val="666666"/>
                <w:sz w:val="20"/>
              </w:rPr>
              <w:t>-Used for employees who have a temporary change in FTE. For example, where Position FTE may remain ‘as is’, however Job Data FTE is reduced)</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LVL – Post Doc Level Progression</w:t>
            </w:r>
          </w:p>
        </w:tc>
        <w:tc>
          <w:tcPr>
            <w:tcW w:w="8096" w:type="dxa"/>
          </w:tcPr>
          <w:p>
            <w:pPr>
              <w:pStyle w:val="TableParagraph"/>
              <w:ind w:left="56" w:right="261"/>
              <w:rPr>
                <w:sz w:val="20"/>
              </w:rPr>
            </w:pPr>
            <w:r>
              <w:rPr>
                <w:color w:val="666666"/>
                <w:sz w:val="20"/>
              </w:rPr>
              <w:t>Used for Post Doc Level progression. Salary Grade is updated in Position Data and pay rate change is made in Job Data.</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ind w:right="370"/>
              <w:rPr>
                <w:sz w:val="20"/>
              </w:rPr>
            </w:pPr>
            <w:r>
              <w:rPr>
                <w:color w:val="666666"/>
                <w:sz w:val="20"/>
              </w:rPr>
              <w:t>PIT – Permanent Increase In Time (FTE)</w:t>
            </w:r>
          </w:p>
        </w:tc>
        <w:tc>
          <w:tcPr>
            <w:tcW w:w="8096" w:type="dxa"/>
          </w:tcPr>
          <w:p>
            <w:pPr>
              <w:pStyle w:val="TableParagraph"/>
              <w:ind w:left="56"/>
              <w:rPr>
                <w:sz w:val="20"/>
              </w:rPr>
            </w:pPr>
            <w:r>
              <w:rPr>
                <w:color w:val="666666"/>
                <w:sz w:val="20"/>
              </w:rPr>
              <w:t>Academic Personnel Use: Permanent increase in percent time (Position FTE). The employee could have a change in JOB.FTE as well.</w:t>
            </w: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PRI – Permanent Reduction - Layoff</w:t>
            </w:r>
          </w:p>
        </w:tc>
        <w:tc>
          <w:tcPr>
            <w:tcW w:w="8096" w:type="dxa"/>
          </w:tcPr>
          <w:p>
            <w:pPr>
              <w:pStyle w:val="TableParagraph"/>
              <w:ind w:left="56"/>
              <w:rPr>
                <w:sz w:val="20"/>
              </w:rPr>
            </w:pPr>
            <w:r>
              <w:rPr>
                <w:color w:val="666666"/>
                <w:sz w:val="20"/>
              </w:rPr>
              <w:t>Used to permanently reduce the Standard Hours/FTE due to a partial layoff.</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PRO – Promotion</w:t>
            </w:r>
          </w:p>
        </w:tc>
        <w:tc>
          <w:tcPr>
            <w:tcW w:w="8096" w:type="dxa"/>
          </w:tcPr>
          <w:p>
            <w:pPr>
              <w:pStyle w:val="TableParagraph"/>
              <w:ind w:left="56" w:right="327"/>
              <w:rPr>
                <w:sz w:val="20"/>
              </w:rPr>
            </w:pPr>
            <w:r>
              <w:rPr>
                <w:color w:val="666666"/>
                <w:sz w:val="20"/>
              </w:rPr>
              <w:t>Used to advance an academic appointee from one rank to another within the same title series.</w:t>
            </w:r>
          </w:p>
        </w:tc>
      </w:tr>
    </w:tbl>
    <w:p>
      <w:pPr>
        <w:spacing w:after="0"/>
        <w:rPr>
          <w:sz w:val="20"/>
        </w:rPr>
        <w:sectPr>
          <w:headerReference w:type="default" r:id="rId5"/>
          <w:footerReference w:type="default" r:id="rId6"/>
          <w:type w:val="continuous"/>
          <w:pgSz w:w="15840" w:h="12240" w:orient="landscape"/>
          <w:pgMar w:header="316" w:footer="353" w:top="1600" w:bottom="540" w:left="260" w:right="420"/>
        </w:sectPr>
      </w:pPr>
    </w:p>
    <w:p>
      <w:pPr>
        <w:pStyle w:val="BodyText"/>
        <w:spacing w:before="2"/>
        <w:rPr>
          <w:rFonts w:ascii="Times New Roman"/>
          <w:sz w:val="11"/>
        </w:rPr>
      </w:pPr>
    </w:p>
    <w:tbl>
      <w:tblPr>
        <w:tblW w:w="0" w:type="auto"/>
        <w:jc w:val="left"/>
        <w:tblInd w:w="122"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505"/>
        <w:gridCol w:w="1812"/>
        <w:gridCol w:w="3514"/>
        <w:gridCol w:w="8096"/>
      </w:tblGrid>
      <w:tr>
        <w:trPr>
          <w:trHeight w:val="465" w:hRule="atLeast"/>
        </w:trPr>
        <w:tc>
          <w:tcPr>
            <w:tcW w:w="1505" w:type="dxa"/>
            <w:tcBorders>
              <w:top w:val="nil"/>
              <w:left w:val="nil"/>
              <w:bottom w:val="nil"/>
              <w:right w:val="nil"/>
            </w:tcBorders>
            <w:shd w:val="clear" w:color="auto" w:fill="00778B"/>
          </w:tcPr>
          <w:p>
            <w:pPr>
              <w:pStyle w:val="TableParagraph"/>
              <w:spacing w:before="115"/>
              <w:ind w:left="496" w:right="489"/>
              <w:jc w:val="center"/>
              <w:rPr>
                <w:b/>
                <w:sz w:val="20"/>
              </w:rPr>
            </w:pPr>
            <w:r>
              <w:rPr>
                <w:b/>
                <w:color w:val="FFFFFF"/>
                <w:sz w:val="20"/>
              </w:rPr>
              <w:t>Page</w:t>
            </w:r>
          </w:p>
        </w:tc>
        <w:tc>
          <w:tcPr>
            <w:tcW w:w="1812" w:type="dxa"/>
            <w:tcBorders>
              <w:top w:val="nil"/>
              <w:left w:val="nil"/>
              <w:bottom w:val="nil"/>
              <w:right w:val="nil"/>
            </w:tcBorders>
            <w:shd w:val="clear" w:color="auto" w:fill="00778B"/>
          </w:tcPr>
          <w:p>
            <w:pPr>
              <w:pStyle w:val="TableParagraph"/>
              <w:spacing w:before="115"/>
              <w:ind w:left="597"/>
              <w:rPr>
                <w:b/>
                <w:sz w:val="20"/>
              </w:rPr>
            </w:pPr>
            <w:r>
              <w:rPr>
                <w:b/>
                <w:color w:val="FFFFFF"/>
                <w:sz w:val="20"/>
              </w:rPr>
              <w:t>Action</w:t>
            </w:r>
          </w:p>
        </w:tc>
        <w:tc>
          <w:tcPr>
            <w:tcW w:w="3514" w:type="dxa"/>
            <w:tcBorders>
              <w:top w:val="nil"/>
              <w:left w:val="nil"/>
              <w:bottom w:val="nil"/>
              <w:right w:val="nil"/>
            </w:tcBorders>
            <w:shd w:val="clear" w:color="auto" w:fill="00778B"/>
          </w:tcPr>
          <w:p>
            <w:pPr>
              <w:pStyle w:val="TableParagraph"/>
              <w:spacing w:before="115"/>
              <w:ind w:left="1377" w:right="1374"/>
              <w:jc w:val="center"/>
              <w:rPr>
                <w:b/>
                <w:sz w:val="20"/>
              </w:rPr>
            </w:pPr>
            <w:r>
              <w:rPr>
                <w:b/>
                <w:color w:val="FFFFFF"/>
                <w:sz w:val="20"/>
              </w:rPr>
              <w:t>Reason</w:t>
            </w:r>
          </w:p>
        </w:tc>
        <w:tc>
          <w:tcPr>
            <w:tcW w:w="8096" w:type="dxa"/>
            <w:tcBorders>
              <w:top w:val="nil"/>
              <w:left w:val="nil"/>
              <w:bottom w:val="nil"/>
              <w:right w:val="nil"/>
            </w:tcBorders>
            <w:shd w:val="clear" w:color="auto" w:fill="00778B"/>
          </w:tcPr>
          <w:p>
            <w:pPr>
              <w:pStyle w:val="TableParagraph"/>
              <w:spacing w:before="115"/>
              <w:ind w:left="3479" w:right="3475"/>
              <w:jc w:val="center"/>
              <w:rPr>
                <w:b/>
                <w:sz w:val="20"/>
              </w:rPr>
            </w:pPr>
            <w:r>
              <w:rPr>
                <w:b/>
                <w:color w:val="FFFFFF"/>
                <w:sz w:val="20"/>
              </w:rPr>
              <w:t>Description</w:t>
            </w:r>
          </w:p>
        </w:tc>
      </w:tr>
      <w:tr>
        <w:trPr>
          <w:trHeight w:val="585" w:hRule="atLeast"/>
        </w:trPr>
        <w:tc>
          <w:tcPr>
            <w:tcW w:w="1505" w:type="dxa"/>
            <w:vMerge w:val="restart"/>
          </w:tcPr>
          <w:p>
            <w:pPr>
              <w:pStyle w:val="TableParagraph"/>
              <w:spacing w:before="0"/>
              <w:ind w:left="0"/>
              <w:rPr>
                <w:rFonts w:ascii="Times New Roman"/>
                <w:sz w:val="18"/>
              </w:rPr>
            </w:pPr>
          </w:p>
        </w:tc>
        <w:tc>
          <w:tcPr>
            <w:tcW w:w="1812" w:type="dxa"/>
            <w:vMerge w:val="restart"/>
          </w:tcPr>
          <w:p>
            <w:pPr>
              <w:pStyle w:val="TableParagraph"/>
              <w:spacing w:before="0"/>
              <w:ind w:left="0"/>
              <w:rPr>
                <w:rFonts w:ascii="Times New Roman"/>
                <w:sz w:val="18"/>
              </w:rPr>
            </w:pPr>
          </w:p>
        </w:tc>
        <w:tc>
          <w:tcPr>
            <w:tcW w:w="3514" w:type="dxa"/>
          </w:tcPr>
          <w:p>
            <w:pPr>
              <w:pStyle w:val="TableParagraph"/>
              <w:spacing w:before="62"/>
              <w:ind w:right="147"/>
              <w:rPr>
                <w:sz w:val="20"/>
              </w:rPr>
            </w:pPr>
            <w:r>
              <w:rPr>
                <w:color w:val="666666"/>
                <w:sz w:val="20"/>
              </w:rPr>
              <w:t>PRT – Permanent Reduction In Time (FTE)</w:t>
            </w:r>
          </w:p>
        </w:tc>
        <w:tc>
          <w:tcPr>
            <w:tcW w:w="8096" w:type="dxa"/>
          </w:tcPr>
          <w:p>
            <w:pPr>
              <w:pStyle w:val="TableParagraph"/>
              <w:spacing w:before="62"/>
              <w:ind w:left="56" w:right="279"/>
              <w:rPr>
                <w:sz w:val="20"/>
              </w:rPr>
            </w:pPr>
            <w:r>
              <w:rPr>
                <w:color w:val="666666"/>
                <w:sz w:val="20"/>
              </w:rPr>
              <w:t>Permanent reduction in percent time (Position FTE). This would change the employee's FTE on the Job.</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REG – Regularization</w:t>
            </w:r>
          </w:p>
        </w:tc>
        <w:tc>
          <w:tcPr>
            <w:tcW w:w="8096" w:type="dxa"/>
          </w:tcPr>
          <w:p>
            <w:pPr>
              <w:pStyle w:val="TableParagraph"/>
              <w:ind w:left="56"/>
              <w:rPr>
                <w:sz w:val="20"/>
              </w:rPr>
            </w:pPr>
            <w:r>
              <w:rPr>
                <w:color w:val="666666"/>
                <w:sz w:val="20"/>
              </w:rPr>
              <w:t>Transition from acting status to regular status after completing Ph.D. or obtaining permanent residency.</w:t>
            </w: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REO – Re-Organization/Restructure</w:t>
            </w:r>
          </w:p>
        </w:tc>
        <w:tc>
          <w:tcPr>
            <w:tcW w:w="8096" w:type="dxa"/>
          </w:tcPr>
          <w:p>
            <w:pPr>
              <w:pStyle w:val="TableParagraph"/>
              <w:ind w:left="56"/>
              <w:rPr>
                <w:sz w:val="20"/>
              </w:rPr>
            </w:pPr>
            <w:r>
              <w:rPr>
                <w:color w:val="666666"/>
                <w:sz w:val="20"/>
              </w:rPr>
              <w:t>Position change due to reorganization and/or restructuring within the same Business Unit.</w:t>
            </w: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RTC – Reports To Change</w:t>
            </w:r>
          </w:p>
        </w:tc>
        <w:tc>
          <w:tcPr>
            <w:tcW w:w="8096" w:type="dxa"/>
          </w:tcPr>
          <w:p>
            <w:pPr>
              <w:pStyle w:val="TableParagraph"/>
              <w:ind w:left="56"/>
              <w:rPr>
                <w:sz w:val="20"/>
              </w:rPr>
            </w:pPr>
            <w:r>
              <w:rPr>
                <w:color w:val="666666"/>
                <w:sz w:val="20"/>
              </w:rPr>
              <w:t>A change to the reports-to position.</w:t>
            </w: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SEC – Series Change</w:t>
            </w:r>
          </w:p>
        </w:tc>
        <w:tc>
          <w:tcPr>
            <w:tcW w:w="8096" w:type="dxa"/>
          </w:tcPr>
          <w:p>
            <w:pPr>
              <w:pStyle w:val="TableParagraph"/>
              <w:ind w:left="56"/>
              <w:rPr>
                <w:sz w:val="20"/>
              </w:rPr>
            </w:pPr>
            <w:r>
              <w:rPr>
                <w:color w:val="666666"/>
                <w:sz w:val="20"/>
              </w:rPr>
              <w:t>Permanent change from one academic series to another.</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TIT – Temporary Increase in Time</w:t>
            </w:r>
          </w:p>
        </w:tc>
        <w:tc>
          <w:tcPr>
            <w:tcW w:w="8096" w:type="dxa"/>
          </w:tcPr>
          <w:p>
            <w:pPr>
              <w:pStyle w:val="TableParagraph"/>
              <w:ind w:left="56" w:right="351"/>
              <w:rPr>
                <w:sz w:val="20"/>
              </w:rPr>
            </w:pPr>
            <w:r>
              <w:rPr>
                <w:color w:val="666666"/>
                <w:sz w:val="20"/>
              </w:rPr>
              <w:t>Temporary increase in percentage of effort for employees whose effort is normally less than 100% or full-time.</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TRT – Temporary Reduction in Time</w:t>
            </w:r>
          </w:p>
        </w:tc>
        <w:tc>
          <w:tcPr>
            <w:tcW w:w="8096" w:type="dxa"/>
          </w:tcPr>
          <w:p>
            <w:pPr>
              <w:pStyle w:val="TableParagraph"/>
              <w:ind w:left="56" w:right="106"/>
              <w:rPr>
                <w:sz w:val="20"/>
              </w:rPr>
            </w:pPr>
            <w:r>
              <w:rPr>
                <w:color w:val="666666"/>
                <w:sz w:val="20"/>
              </w:rPr>
              <w:t>Used to decrease the FTE field on the Position Data Page. For example, temporary decrease in percentage of effort for employees whose effort is normally 100% or full-time.</w:t>
            </w:r>
          </w:p>
        </w:tc>
      </w:tr>
      <w:tr>
        <w:trPr>
          <w:trHeight w:val="577"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XFR – Transfer</w:t>
            </w:r>
          </w:p>
        </w:tc>
        <w:tc>
          <w:tcPr>
            <w:tcW w:w="8096" w:type="dxa"/>
          </w:tcPr>
          <w:p>
            <w:pPr>
              <w:pStyle w:val="TableParagraph"/>
              <w:ind w:left="56" w:right="561"/>
              <w:rPr>
                <w:sz w:val="20"/>
              </w:rPr>
            </w:pPr>
            <w:r>
              <w:rPr>
                <w:color w:val="666666"/>
                <w:sz w:val="20"/>
              </w:rPr>
              <w:t>Used when moving/transferring a position from one department to another within the same Business Unit.</w:t>
            </w:r>
          </w:p>
        </w:tc>
      </w:tr>
      <w:tr>
        <w:trPr>
          <w:trHeight w:val="580" w:hRule="atLeast"/>
        </w:trPr>
        <w:tc>
          <w:tcPr>
            <w:tcW w:w="1505" w:type="dxa"/>
            <w:vMerge w:val="restart"/>
          </w:tcPr>
          <w:p>
            <w:pPr>
              <w:pStyle w:val="TableParagraph"/>
              <w:rPr>
                <w:b/>
                <w:sz w:val="20"/>
              </w:rPr>
            </w:pPr>
            <w:r>
              <w:rPr>
                <w:b/>
                <w:color w:val="666666"/>
                <w:sz w:val="20"/>
              </w:rPr>
              <w:t>Job Data</w:t>
            </w:r>
          </w:p>
        </w:tc>
        <w:tc>
          <w:tcPr>
            <w:tcW w:w="1812" w:type="dxa"/>
            <w:vMerge w:val="restart"/>
          </w:tcPr>
          <w:p>
            <w:pPr>
              <w:pStyle w:val="TableParagraph"/>
              <w:spacing w:before="59"/>
              <w:ind w:right="226"/>
              <w:rPr>
                <w:sz w:val="20"/>
              </w:rPr>
            </w:pPr>
            <w:r>
              <w:rPr>
                <w:color w:val="666666"/>
                <w:sz w:val="20"/>
              </w:rPr>
              <w:t>DTA – Data Change</w:t>
            </w:r>
          </w:p>
        </w:tc>
        <w:tc>
          <w:tcPr>
            <w:tcW w:w="3514" w:type="dxa"/>
          </w:tcPr>
          <w:p>
            <w:pPr>
              <w:pStyle w:val="TableParagraph"/>
              <w:spacing w:before="59"/>
              <w:rPr>
                <w:sz w:val="20"/>
              </w:rPr>
            </w:pPr>
            <w:r>
              <w:rPr>
                <w:color w:val="666666"/>
                <w:sz w:val="20"/>
              </w:rPr>
              <w:t>ASM – Active Service Modified Duties</w:t>
            </w:r>
          </w:p>
        </w:tc>
        <w:tc>
          <w:tcPr>
            <w:tcW w:w="8096" w:type="dxa"/>
          </w:tcPr>
          <w:p>
            <w:pPr>
              <w:pStyle w:val="TableParagraph"/>
              <w:spacing w:before="59"/>
              <w:ind w:left="56"/>
              <w:rPr>
                <w:sz w:val="20"/>
              </w:rPr>
            </w:pPr>
            <w:r>
              <w:rPr>
                <w:color w:val="666666"/>
                <w:sz w:val="20"/>
              </w:rPr>
              <w:t>Used for tracking modified service when an academic appointee has substantial responsibility for a newborn child or adoptee.</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ASR – Return from ASMD</w:t>
            </w:r>
          </w:p>
        </w:tc>
        <w:tc>
          <w:tcPr>
            <w:tcW w:w="8096" w:type="dxa"/>
          </w:tcPr>
          <w:p>
            <w:pPr>
              <w:pStyle w:val="TableParagraph"/>
              <w:ind w:left="56"/>
              <w:rPr>
                <w:sz w:val="20"/>
              </w:rPr>
            </w:pPr>
            <w:r>
              <w:rPr>
                <w:color w:val="666666"/>
                <w:sz w:val="20"/>
              </w:rPr>
              <w:t>Use to return a faculty member to regular service after a period of Active Service Modified Duties.</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CNT – New Contract (Contract Pay)</w:t>
            </w:r>
          </w:p>
        </w:tc>
        <w:tc>
          <w:tcPr>
            <w:tcW w:w="8096" w:type="dxa"/>
          </w:tcPr>
          <w:p>
            <w:pPr>
              <w:pStyle w:val="TableParagraph"/>
              <w:ind w:left="56"/>
              <w:rPr>
                <w:sz w:val="20"/>
              </w:rPr>
            </w:pPr>
            <w:r>
              <w:rPr>
                <w:color w:val="666666"/>
                <w:sz w:val="20"/>
              </w:rPr>
              <w:t>Used to assign someone to a new/renewed contract. User should update Compensation Frequency to ‘Contract’ and Pay Components as required.</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COR – Correction-Non Pay Related</w:t>
            </w:r>
          </w:p>
        </w:tc>
        <w:tc>
          <w:tcPr>
            <w:tcW w:w="8096" w:type="dxa"/>
          </w:tcPr>
          <w:p>
            <w:pPr>
              <w:pStyle w:val="TableParagraph"/>
              <w:ind w:left="56"/>
              <w:rPr>
                <w:sz w:val="20"/>
              </w:rPr>
            </w:pPr>
            <w:r>
              <w:rPr>
                <w:color w:val="666666"/>
                <w:sz w:val="20"/>
              </w:rPr>
              <w:t>Non pay related data change to correct erroneously entered information. (For UCPC use only)</w:t>
            </w: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CPR – Correction-Pay Rate</w:t>
            </w:r>
          </w:p>
        </w:tc>
        <w:tc>
          <w:tcPr>
            <w:tcW w:w="8096" w:type="dxa"/>
          </w:tcPr>
          <w:p>
            <w:pPr>
              <w:pStyle w:val="TableParagraph"/>
              <w:ind w:left="56"/>
              <w:rPr>
                <w:sz w:val="20"/>
              </w:rPr>
            </w:pPr>
            <w:r>
              <w:rPr>
                <w:color w:val="666666"/>
                <w:sz w:val="20"/>
              </w:rPr>
              <w:t>Pay related data change to correct erroneously entered information. (For UCPC use only)</w:t>
            </w:r>
          </w:p>
        </w:tc>
      </w:tr>
      <w:tr>
        <w:trPr>
          <w:trHeight w:val="808"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CPT – Change in Percent Time (FTE)</w:t>
            </w:r>
          </w:p>
        </w:tc>
        <w:tc>
          <w:tcPr>
            <w:tcW w:w="8096" w:type="dxa"/>
          </w:tcPr>
          <w:p>
            <w:pPr>
              <w:pStyle w:val="TableParagraph"/>
              <w:ind w:left="56" w:right="505"/>
              <w:rPr>
                <w:sz w:val="20"/>
              </w:rPr>
            </w:pPr>
            <w:r>
              <w:rPr>
                <w:color w:val="666666"/>
                <w:sz w:val="20"/>
              </w:rPr>
              <w:t>Used to increase/decrease percent time (Job Data FTE) on an academic or staff appointment. Should only be used if Position Data FTE does not control EE level Job Data FTE. Otherwise Job Data FTE field is display only.</w:t>
            </w: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EPR – Extension Pending Review</w:t>
            </w:r>
          </w:p>
        </w:tc>
        <w:tc>
          <w:tcPr>
            <w:tcW w:w="8096" w:type="dxa"/>
          </w:tcPr>
          <w:p>
            <w:pPr>
              <w:pStyle w:val="TableParagraph"/>
              <w:ind w:left="56"/>
              <w:rPr>
                <w:sz w:val="20"/>
              </w:rPr>
            </w:pPr>
            <w:r>
              <w:rPr>
                <w:color w:val="666666"/>
                <w:sz w:val="20"/>
              </w:rPr>
              <w:t>Extension of end date pending review.</w:t>
            </w: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EXP – Extend Expected Return Date</w:t>
            </w:r>
          </w:p>
        </w:tc>
        <w:tc>
          <w:tcPr>
            <w:tcW w:w="8096" w:type="dxa"/>
          </w:tcPr>
          <w:p>
            <w:pPr>
              <w:pStyle w:val="TableParagraph"/>
              <w:ind w:left="56"/>
              <w:rPr>
                <w:sz w:val="20"/>
              </w:rPr>
            </w:pPr>
            <w:r>
              <w:rPr>
                <w:color w:val="666666"/>
                <w:sz w:val="20"/>
              </w:rPr>
              <w:t>Used to extend expected return date for employees on short work break.</w:t>
            </w: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EXT – Add/Extend Appointment</w:t>
            </w:r>
          </w:p>
        </w:tc>
        <w:tc>
          <w:tcPr>
            <w:tcW w:w="8096" w:type="dxa"/>
          </w:tcPr>
          <w:p>
            <w:pPr>
              <w:pStyle w:val="TableParagraph"/>
              <w:ind w:left="56"/>
              <w:rPr>
                <w:sz w:val="20"/>
              </w:rPr>
            </w:pPr>
            <w:r>
              <w:rPr>
                <w:color w:val="666666"/>
                <w:sz w:val="20"/>
              </w:rPr>
              <w:t>Used to add or extend temporary appointment.</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FRQ – Update Job Comp Frequency</w:t>
            </w:r>
          </w:p>
        </w:tc>
        <w:tc>
          <w:tcPr>
            <w:tcW w:w="8096" w:type="dxa"/>
          </w:tcPr>
          <w:p>
            <w:pPr>
              <w:pStyle w:val="TableParagraph"/>
              <w:ind w:left="56" w:right="227"/>
              <w:rPr>
                <w:sz w:val="20"/>
              </w:rPr>
            </w:pPr>
            <w:r>
              <w:rPr>
                <w:color w:val="666666"/>
                <w:sz w:val="20"/>
              </w:rPr>
              <w:t>Used to move employee to a new Compensation Frequency at the beginning of January or July.</w:t>
            </w:r>
          </w:p>
        </w:tc>
      </w:tr>
    </w:tbl>
    <w:p>
      <w:pPr>
        <w:spacing w:after="0"/>
        <w:rPr>
          <w:sz w:val="20"/>
        </w:rPr>
        <w:sectPr>
          <w:footerReference w:type="default" r:id="rId7"/>
          <w:pgSz w:w="15840" w:h="12240" w:orient="landscape"/>
          <w:pgMar w:footer="353" w:header="316" w:top="1600" w:bottom="540" w:left="260" w:right="420"/>
          <w:pgNumType w:start="2"/>
        </w:sectPr>
      </w:pPr>
    </w:p>
    <w:p>
      <w:pPr>
        <w:pStyle w:val="BodyText"/>
        <w:spacing w:before="2"/>
        <w:rPr>
          <w:rFonts w:ascii="Times New Roman"/>
          <w:sz w:val="11"/>
        </w:rPr>
      </w:pPr>
    </w:p>
    <w:tbl>
      <w:tblPr>
        <w:tblW w:w="0" w:type="auto"/>
        <w:jc w:val="left"/>
        <w:tblInd w:w="122"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505"/>
        <w:gridCol w:w="1812"/>
        <w:gridCol w:w="3514"/>
        <w:gridCol w:w="8096"/>
      </w:tblGrid>
      <w:tr>
        <w:trPr>
          <w:trHeight w:val="465" w:hRule="atLeast"/>
        </w:trPr>
        <w:tc>
          <w:tcPr>
            <w:tcW w:w="1505" w:type="dxa"/>
            <w:tcBorders>
              <w:top w:val="nil"/>
              <w:left w:val="nil"/>
              <w:bottom w:val="nil"/>
              <w:right w:val="nil"/>
            </w:tcBorders>
            <w:shd w:val="clear" w:color="auto" w:fill="00778B"/>
          </w:tcPr>
          <w:p>
            <w:pPr>
              <w:pStyle w:val="TableParagraph"/>
              <w:spacing w:before="115"/>
              <w:ind w:left="496" w:right="489"/>
              <w:jc w:val="center"/>
              <w:rPr>
                <w:b/>
                <w:sz w:val="20"/>
              </w:rPr>
            </w:pPr>
            <w:r>
              <w:rPr>
                <w:b/>
                <w:color w:val="FFFFFF"/>
                <w:sz w:val="20"/>
              </w:rPr>
              <w:t>Page</w:t>
            </w:r>
          </w:p>
        </w:tc>
        <w:tc>
          <w:tcPr>
            <w:tcW w:w="1812" w:type="dxa"/>
            <w:tcBorders>
              <w:top w:val="nil"/>
              <w:left w:val="nil"/>
              <w:bottom w:val="nil"/>
              <w:right w:val="nil"/>
            </w:tcBorders>
            <w:shd w:val="clear" w:color="auto" w:fill="00778B"/>
          </w:tcPr>
          <w:p>
            <w:pPr>
              <w:pStyle w:val="TableParagraph"/>
              <w:spacing w:before="115"/>
              <w:ind w:left="597"/>
              <w:rPr>
                <w:b/>
                <w:sz w:val="20"/>
              </w:rPr>
            </w:pPr>
            <w:r>
              <w:rPr>
                <w:b/>
                <w:color w:val="FFFFFF"/>
                <w:sz w:val="20"/>
              </w:rPr>
              <w:t>Action</w:t>
            </w:r>
          </w:p>
        </w:tc>
        <w:tc>
          <w:tcPr>
            <w:tcW w:w="3514" w:type="dxa"/>
            <w:tcBorders>
              <w:top w:val="nil"/>
              <w:left w:val="nil"/>
              <w:bottom w:val="nil"/>
              <w:right w:val="nil"/>
            </w:tcBorders>
            <w:shd w:val="clear" w:color="auto" w:fill="00778B"/>
          </w:tcPr>
          <w:p>
            <w:pPr>
              <w:pStyle w:val="TableParagraph"/>
              <w:spacing w:before="115"/>
              <w:ind w:left="1377" w:right="1374"/>
              <w:jc w:val="center"/>
              <w:rPr>
                <w:b/>
                <w:sz w:val="20"/>
              </w:rPr>
            </w:pPr>
            <w:r>
              <w:rPr>
                <w:b/>
                <w:color w:val="FFFFFF"/>
                <w:sz w:val="20"/>
              </w:rPr>
              <w:t>Reason</w:t>
            </w:r>
          </w:p>
        </w:tc>
        <w:tc>
          <w:tcPr>
            <w:tcW w:w="8096" w:type="dxa"/>
            <w:tcBorders>
              <w:top w:val="nil"/>
              <w:left w:val="nil"/>
              <w:bottom w:val="nil"/>
              <w:right w:val="nil"/>
            </w:tcBorders>
            <w:shd w:val="clear" w:color="auto" w:fill="00778B"/>
          </w:tcPr>
          <w:p>
            <w:pPr>
              <w:pStyle w:val="TableParagraph"/>
              <w:spacing w:before="115"/>
              <w:ind w:left="3479" w:right="3475"/>
              <w:jc w:val="center"/>
              <w:rPr>
                <w:b/>
                <w:sz w:val="20"/>
              </w:rPr>
            </w:pPr>
            <w:r>
              <w:rPr>
                <w:b/>
                <w:color w:val="FFFFFF"/>
                <w:sz w:val="20"/>
              </w:rPr>
              <w:t>Description</w:t>
            </w:r>
          </w:p>
        </w:tc>
      </w:tr>
      <w:tr>
        <w:trPr>
          <w:trHeight w:val="354" w:hRule="atLeast"/>
        </w:trPr>
        <w:tc>
          <w:tcPr>
            <w:tcW w:w="1505" w:type="dxa"/>
            <w:vMerge w:val="restart"/>
          </w:tcPr>
          <w:p>
            <w:pPr>
              <w:pStyle w:val="TableParagraph"/>
              <w:spacing w:before="0"/>
              <w:ind w:left="0"/>
              <w:rPr>
                <w:rFonts w:ascii="Times New Roman"/>
                <w:sz w:val="18"/>
              </w:rPr>
            </w:pPr>
          </w:p>
        </w:tc>
        <w:tc>
          <w:tcPr>
            <w:tcW w:w="1812" w:type="dxa"/>
            <w:vMerge w:val="restart"/>
          </w:tcPr>
          <w:p>
            <w:pPr>
              <w:pStyle w:val="TableParagraph"/>
              <w:spacing w:before="0"/>
              <w:ind w:left="0"/>
              <w:rPr>
                <w:rFonts w:ascii="Times New Roman"/>
                <w:sz w:val="18"/>
              </w:rPr>
            </w:pPr>
          </w:p>
        </w:tc>
        <w:tc>
          <w:tcPr>
            <w:tcW w:w="3514" w:type="dxa"/>
          </w:tcPr>
          <w:p>
            <w:pPr>
              <w:pStyle w:val="TableParagraph"/>
              <w:spacing w:before="62"/>
              <w:rPr>
                <w:sz w:val="20"/>
              </w:rPr>
            </w:pPr>
            <w:r>
              <w:rPr>
                <w:color w:val="666666"/>
                <w:sz w:val="20"/>
              </w:rPr>
              <w:t>LUE – Update Location Use End Date</w:t>
            </w:r>
          </w:p>
        </w:tc>
        <w:tc>
          <w:tcPr>
            <w:tcW w:w="8096" w:type="dxa"/>
          </w:tcPr>
          <w:p>
            <w:pPr>
              <w:pStyle w:val="TableParagraph"/>
              <w:spacing w:before="62"/>
              <w:ind w:left="56"/>
              <w:rPr>
                <w:sz w:val="20"/>
              </w:rPr>
            </w:pPr>
            <w:r>
              <w:rPr>
                <w:color w:val="666666"/>
                <w:sz w:val="20"/>
              </w:rPr>
              <w:t>Used to update the Location Use End Date field on the UC Job Data page.</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ind w:right="192"/>
              <w:rPr>
                <w:sz w:val="20"/>
              </w:rPr>
            </w:pPr>
            <w:r>
              <w:rPr>
                <w:color w:val="666666"/>
                <w:sz w:val="20"/>
              </w:rPr>
              <w:t>PST – Update Post Doc Anniversary Dt</w:t>
            </w:r>
          </w:p>
        </w:tc>
        <w:tc>
          <w:tcPr>
            <w:tcW w:w="8096" w:type="dxa"/>
          </w:tcPr>
          <w:p>
            <w:pPr>
              <w:pStyle w:val="TableParagraph"/>
              <w:ind w:left="56"/>
              <w:rPr>
                <w:sz w:val="20"/>
              </w:rPr>
            </w:pPr>
            <w:r>
              <w:rPr>
                <w:color w:val="666666"/>
                <w:sz w:val="20"/>
              </w:rPr>
              <w:t>Used to update the Post Doc Anniversary Date.</w:t>
            </w: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RCN – Remove Contract Pay</w:t>
            </w:r>
          </w:p>
        </w:tc>
        <w:tc>
          <w:tcPr>
            <w:tcW w:w="8096" w:type="dxa"/>
          </w:tcPr>
          <w:p>
            <w:pPr>
              <w:pStyle w:val="TableParagraph"/>
              <w:ind w:left="56"/>
              <w:rPr>
                <w:sz w:val="20"/>
              </w:rPr>
            </w:pPr>
            <w:r>
              <w:rPr>
                <w:color w:val="666666"/>
                <w:sz w:val="20"/>
              </w:rPr>
              <w:t>Used to remove the Contract Pay Comp Rate Code and Compensation Frequency.</w:t>
            </w: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REA – Academic Reappointment</w:t>
            </w:r>
          </w:p>
        </w:tc>
        <w:tc>
          <w:tcPr>
            <w:tcW w:w="8096" w:type="dxa"/>
          </w:tcPr>
          <w:p>
            <w:pPr>
              <w:pStyle w:val="TableParagraph"/>
              <w:ind w:left="56"/>
              <w:rPr>
                <w:sz w:val="20"/>
              </w:rPr>
            </w:pPr>
            <w:r>
              <w:rPr>
                <w:color w:val="666666"/>
                <w:sz w:val="20"/>
              </w:rPr>
              <w:t>Used with Assistant Professors and any other term appointed academics.</w:t>
            </w: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TMF – Update Auto Termination Flag</w:t>
            </w:r>
          </w:p>
        </w:tc>
        <w:tc>
          <w:tcPr>
            <w:tcW w:w="8096" w:type="dxa"/>
          </w:tcPr>
          <w:p>
            <w:pPr>
              <w:pStyle w:val="TableParagraph"/>
              <w:ind w:left="56"/>
              <w:rPr>
                <w:sz w:val="20"/>
              </w:rPr>
            </w:pPr>
            <w:r>
              <w:rPr>
                <w:color w:val="666666"/>
                <w:sz w:val="20"/>
              </w:rPr>
              <w:t>Used to either select or deselect the 'End Job Automatically' check box.</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UCC – Update Off Scale Rate Code</w:t>
            </w:r>
          </w:p>
        </w:tc>
        <w:tc>
          <w:tcPr>
            <w:tcW w:w="8096" w:type="dxa"/>
          </w:tcPr>
          <w:p>
            <w:pPr>
              <w:pStyle w:val="TableParagraph"/>
              <w:ind w:left="56"/>
              <w:rPr>
                <w:sz w:val="20"/>
              </w:rPr>
            </w:pPr>
            <w:r>
              <w:rPr>
                <w:color w:val="666666"/>
                <w:sz w:val="20"/>
              </w:rPr>
              <w:t>Used to update the Pay Component Comp Rate Code associated to an Employee’s Off Scale Rate</w:t>
            </w:r>
          </w:p>
        </w:tc>
      </w:tr>
      <w:tr>
        <w:trPr>
          <w:trHeight w:val="1038" w:hRule="atLeast"/>
        </w:trPr>
        <w:tc>
          <w:tcPr>
            <w:tcW w:w="1505" w:type="dxa"/>
            <w:vMerge/>
            <w:tcBorders>
              <w:top w:val="nil"/>
            </w:tcBorders>
          </w:tcPr>
          <w:p>
            <w:pPr>
              <w:rPr>
                <w:sz w:val="2"/>
                <w:szCs w:val="2"/>
              </w:rPr>
            </w:pPr>
          </w:p>
        </w:tc>
        <w:tc>
          <w:tcPr>
            <w:tcW w:w="1812" w:type="dxa"/>
            <w:vMerge w:val="restart"/>
          </w:tcPr>
          <w:p>
            <w:pPr>
              <w:pStyle w:val="TableParagraph"/>
              <w:ind w:right="226"/>
              <w:rPr>
                <w:sz w:val="20"/>
              </w:rPr>
            </w:pPr>
            <w:r>
              <w:rPr>
                <w:color w:val="666666"/>
                <w:sz w:val="20"/>
              </w:rPr>
              <w:t>JED – Earnings Distribution Change</w:t>
            </w:r>
          </w:p>
        </w:tc>
        <w:tc>
          <w:tcPr>
            <w:tcW w:w="3514" w:type="dxa"/>
          </w:tcPr>
          <w:p>
            <w:pPr>
              <w:pStyle w:val="TableParagraph"/>
              <w:ind w:right="370"/>
              <w:rPr>
                <w:sz w:val="20"/>
              </w:rPr>
            </w:pPr>
            <w:r>
              <w:rPr>
                <w:color w:val="666666"/>
                <w:sz w:val="20"/>
              </w:rPr>
              <w:t>JED – Negotiated Compensation Plans</w:t>
            </w:r>
          </w:p>
        </w:tc>
        <w:tc>
          <w:tcPr>
            <w:tcW w:w="8096" w:type="dxa"/>
          </w:tcPr>
          <w:p>
            <w:pPr>
              <w:pStyle w:val="TableParagraph"/>
              <w:ind w:left="56" w:right="95"/>
              <w:rPr>
                <w:sz w:val="20"/>
              </w:rPr>
            </w:pPr>
            <w:r>
              <w:rPr>
                <w:color w:val="666666"/>
                <w:sz w:val="20"/>
              </w:rPr>
              <w:t>For Health Sciences Comp Plan, MSP Staff Physician Comp Plan or Negotiated Trial Salary Program use only. This can also be used for Summer Salary where the Earn Code for a given Salary Plan/Grade is not REG. This action will require manual entry of Job Earnings Distribution.</w:t>
            </w: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spacing w:before="59"/>
              <w:rPr>
                <w:sz w:val="20"/>
              </w:rPr>
            </w:pPr>
            <w:r>
              <w:rPr>
                <w:color w:val="666666"/>
                <w:sz w:val="20"/>
              </w:rPr>
              <w:t>RET – Return to Normal Hours/Dist</w:t>
            </w:r>
          </w:p>
        </w:tc>
        <w:tc>
          <w:tcPr>
            <w:tcW w:w="8096" w:type="dxa"/>
          </w:tcPr>
          <w:p>
            <w:pPr>
              <w:pStyle w:val="TableParagraph"/>
              <w:spacing w:before="59"/>
              <w:ind w:left="56"/>
              <w:rPr>
                <w:sz w:val="20"/>
              </w:rPr>
            </w:pPr>
            <w:r>
              <w:rPr>
                <w:color w:val="666666"/>
                <w:sz w:val="20"/>
              </w:rPr>
              <w:t>Used to return employees to normal hours or distribution.</w:t>
            </w:r>
          </w:p>
        </w:tc>
      </w:tr>
      <w:tr>
        <w:trPr>
          <w:trHeight w:val="810" w:hRule="atLeast"/>
        </w:trPr>
        <w:tc>
          <w:tcPr>
            <w:tcW w:w="1505" w:type="dxa"/>
            <w:vMerge/>
            <w:tcBorders>
              <w:top w:val="nil"/>
            </w:tcBorders>
          </w:tcPr>
          <w:p>
            <w:pPr>
              <w:rPr>
                <w:sz w:val="2"/>
                <w:szCs w:val="2"/>
              </w:rPr>
            </w:pPr>
          </w:p>
        </w:tc>
        <w:tc>
          <w:tcPr>
            <w:tcW w:w="1812" w:type="dxa"/>
            <w:vMerge w:val="restart"/>
          </w:tcPr>
          <w:p>
            <w:pPr>
              <w:pStyle w:val="TableParagraph"/>
              <w:spacing w:before="59"/>
              <w:ind w:right="226"/>
              <w:rPr>
                <w:sz w:val="20"/>
              </w:rPr>
            </w:pPr>
            <w:r>
              <w:rPr>
                <w:color w:val="666666"/>
                <w:sz w:val="20"/>
              </w:rPr>
              <w:t>PAY – Pay Rate Change</w:t>
            </w:r>
          </w:p>
        </w:tc>
        <w:tc>
          <w:tcPr>
            <w:tcW w:w="3514" w:type="dxa"/>
          </w:tcPr>
          <w:p>
            <w:pPr>
              <w:pStyle w:val="TableParagraph"/>
              <w:spacing w:before="59"/>
              <w:rPr>
                <w:sz w:val="20"/>
              </w:rPr>
            </w:pPr>
            <w:r>
              <w:rPr>
                <w:color w:val="666666"/>
                <w:sz w:val="20"/>
              </w:rPr>
              <w:t>AAS – Advancement to Above-Scale</w:t>
            </w:r>
          </w:p>
        </w:tc>
        <w:tc>
          <w:tcPr>
            <w:tcW w:w="8096" w:type="dxa"/>
          </w:tcPr>
          <w:p>
            <w:pPr>
              <w:pStyle w:val="TableParagraph"/>
              <w:spacing w:before="59"/>
              <w:ind w:left="56" w:right="161"/>
              <w:rPr>
                <w:sz w:val="20"/>
              </w:rPr>
            </w:pPr>
            <w:r>
              <w:rPr>
                <w:color w:val="666666"/>
                <w:sz w:val="20"/>
              </w:rPr>
              <w:t>Used to enter compensation data when the EE has exceeded the maximum Step in his current Salary Grade. The user would remove the step value and enter Pay Components for the Above Scale Rates (for example: Above Scale X, X’, etc.)</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ind w:right="370"/>
              <w:rPr>
                <w:sz w:val="20"/>
              </w:rPr>
            </w:pPr>
            <w:r>
              <w:rPr>
                <w:color w:val="666666"/>
                <w:sz w:val="20"/>
              </w:rPr>
              <w:t>AMR – Academic </w:t>
            </w:r>
            <w:r>
              <w:rPr>
                <w:color w:val="666666"/>
                <w:w w:val="95"/>
                <w:sz w:val="20"/>
              </w:rPr>
              <w:t>Merit/Reappointment</w:t>
            </w:r>
          </w:p>
        </w:tc>
        <w:tc>
          <w:tcPr>
            <w:tcW w:w="8096" w:type="dxa"/>
          </w:tcPr>
          <w:p>
            <w:pPr>
              <w:pStyle w:val="TableParagraph"/>
              <w:ind w:left="56" w:right="405"/>
              <w:rPr>
                <w:sz w:val="20"/>
              </w:rPr>
            </w:pPr>
            <w:r>
              <w:rPr>
                <w:color w:val="666666"/>
                <w:sz w:val="20"/>
              </w:rPr>
              <w:t>A pay rate change that is a performance-based salary increase or related to academic reappointment</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ATB – Across-The-Board</w:t>
            </w:r>
          </w:p>
        </w:tc>
        <w:tc>
          <w:tcPr>
            <w:tcW w:w="8096" w:type="dxa"/>
          </w:tcPr>
          <w:p>
            <w:pPr>
              <w:pStyle w:val="TableParagraph"/>
              <w:ind w:left="56" w:right="129"/>
              <w:rPr>
                <w:sz w:val="20"/>
              </w:rPr>
            </w:pPr>
            <w:r>
              <w:rPr>
                <w:color w:val="666666"/>
                <w:sz w:val="20"/>
              </w:rPr>
              <w:t>Used for an across the board mass increase due to contract negotiations or other across- the-board increases.</w:t>
            </w:r>
          </w:p>
        </w:tc>
      </w:tr>
      <w:tr>
        <w:trPr>
          <w:trHeight w:val="578"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DEM – Demotion</w:t>
            </w:r>
          </w:p>
        </w:tc>
        <w:tc>
          <w:tcPr>
            <w:tcW w:w="8096" w:type="dxa"/>
          </w:tcPr>
          <w:p>
            <w:pPr>
              <w:pStyle w:val="TableParagraph"/>
              <w:ind w:left="56" w:right="116"/>
              <w:rPr>
                <w:sz w:val="20"/>
              </w:rPr>
            </w:pPr>
            <w:r>
              <w:rPr>
                <w:color w:val="666666"/>
                <w:sz w:val="20"/>
              </w:rPr>
              <w:t>The pay rate change for an employee who has moved from one position to another which has a lower salary range maximum.</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spacing w:before="59"/>
              <w:rPr>
                <w:sz w:val="20"/>
              </w:rPr>
            </w:pPr>
            <w:r>
              <w:rPr>
                <w:color w:val="666666"/>
                <w:sz w:val="20"/>
              </w:rPr>
              <w:t>EQU – Equity</w:t>
            </w:r>
          </w:p>
        </w:tc>
        <w:tc>
          <w:tcPr>
            <w:tcW w:w="8096" w:type="dxa"/>
          </w:tcPr>
          <w:p>
            <w:pPr>
              <w:pStyle w:val="TableParagraph"/>
              <w:spacing w:before="59"/>
              <w:ind w:left="56" w:right="250"/>
              <w:rPr>
                <w:sz w:val="20"/>
              </w:rPr>
            </w:pPr>
            <w:r>
              <w:rPr>
                <w:color w:val="666666"/>
                <w:sz w:val="20"/>
              </w:rPr>
              <w:t>A pay rate change for a salary increase granted to correct an internal or external/market inequity.</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MIN – Bring to Minimum</w:t>
            </w:r>
          </w:p>
        </w:tc>
        <w:tc>
          <w:tcPr>
            <w:tcW w:w="8096" w:type="dxa"/>
          </w:tcPr>
          <w:p>
            <w:pPr>
              <w:pStyle w:val="TableParagraph"/>
              <w:ind w:left="56" w:right="190"/>
              <w:rPr>
                <w:sz w:val="20"/>
              </w:rPr>
            </w:pPr>
            <w:r>
              <w:rPr>
                <w:color w:val="666666"/>
                <w:sz w:val="20"/>
              </w:rPr>
              <w:t>A salary increase granted in order to raise an employee's salary to meet a new minimum salary range or step rate.</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NEG – Change in Negotiated Salary</w:t>
            </w:r>
          </w:p>
        </w:tc>
        <w:tc>
          <w:tcPr>
            <w:tcW w:w="8096" w:type="dxa"/>
          </w:tcPr>
          <w:p>
            <w:pPr>
              <w:pStyle w:val="TableParagraph"/>
              <w:ind w:left="56" w:right="383"/>
              <w:rPr>
                <w:sz w:val="20"/>
              </w:rPr>
            </w:pPr>
            <w:r>
              <w:rPr>
                <w:color w:val="666666"/>
                <w:sz w:val="20"/>
              </w:rPr>
              <w:t>Change in annual negotiated salary. Negotiated compensation plan members only (for example: HSCP, NSTP, etc.).</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OFF – Off Scale Increase</w:t>
            </w:r>
          </w:p>
        </w:tc>
        <w:tc>
          <w:tcPr>
            <w:tcW w:w="8096" w:type="dxa"/>
          </w:tcPr>
          <w:p>
            <w:pPr>
              <w:pStyle w:val="TableParagraph"/>
              <w:ind w:left="56" w:right="205"/>
              <w:rPr>
                <w:sz w:val="20"/>
              </w:rPr>
            </w:pPr>
            <w:r>
              <w:rPr>
                <w:color w:val="666666"/>
                <w:sz w:val="20"/>
              </w:rPr>
              <w:t>New or increased off-scale salary component as a result of a retention, equity or academic review.</w:t>
            </w:r>
          </w:p>
        </w:tc>
      </w:tr>
    </w:tbl>
    <w:p>
      <w:pPr>
        <w:spacing w:after="0"/>
        <w:rPr>
          <w:sz w:val="20"/>
        </w:rPr>
        <w:sectPr>
          <w:pgSz w:w="15840" w:h="12240" w:orient="landscape"/>
          <w:pgMar w:header="316" w:footer="353" w:top="1600" w:bottom="540" w:left="260" w:right="420"/>
        </w:sectPr>
      </w:pPr>
    </w:p>
    <w:p>
      <w:pPr>
        <w:pStyle w:val="BodyText"/>
        <w:spacing w:before="2"/>
        <w:rPr>
          <w:rFonts w:ascii="Times New Roman"/>
          <w:sz w:val="11"/>
        </w:rPr>
      </w:pPr>
    </w:p>
    <w:tbl>
      <w:tblPr>
        <w:tblW w:w="0" w:type="auto"/>
        <w:jc w:val="left"/>
        <w:tblInd w:w="122"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505"/>
        <w:gridCol w:w="1812"/>
        <w:gridCol w:w="3514"/>
        <w:gridCol w:w="8096"/>
      </w:tblGrid>
      <w:tr>
        <w:trPr>
          <w:trHeight w:val="465" w:hRule="atLeast"/>
        </w:trPr>
        <w:tc>
          <w:tcPr>
            <w:tcW w:w="1505" w:type="dxa"/>
            <w:tcBorders>
              <w:top w:val="nil"/>
              <w:left w:val="nil"/>
              <w:bottom w:val="nil"/>
              <w:right w:val="nil"/>
            </w:tcBorders>
            <w:shd w:val="clear" w:color="auto" w:fill="00778B"/>
          </w:tcPr>
          <w:p>
            <w:pPr>
              <w:pStyle w:val="TableParagraph"/>
              <w:spacing w:before="115"/>
              <w:ind w:left="496" w:right="489"/>
              <w:jc w:val="center"/>
              <w:rPr>
                <w:b/>
                <w:sz w:val="20"/>
              </w:rPr>
            </w:pPr>
            <w:r>
              <w:rPr>
                <w:b/>
                <w:color w:val="FFFFFF"/>
                <w:sz w:val="20"/>
              </w:rPr>
              <w:t>Page</w:t>
            </w:r>
          </w:p>
        </w:tc>
        <w:tc>
          <w:tcPr>
            <w:tcW w:w="1812" w:type="dxa"/>
            <w:tcBorders>
              <w:top w:val="nil"/>
              <w:left w:val="nil"/>
              <w:bottom w:val="nil"/>
              <w:right w:val="nil"/>
            </w:tcBorders>
            <w:shd w:val="clear" w:color="auto" w:fill="00778B"/>
          </w:tcPr>
          <w:p>
            <w:pPr>
              <w:pStyle w:val="TableParagraph"/>
              <w:spacing w:before="115"/>
              <w:ind w:left="597"/>
              <w:rPr>
                <w:b/>
                <w:sz w:val="20"/>
              </w:rPr>
            </w:pPr>
            <w:r>
              <w:rPr>
                <w:b/>
                <w:color w:val="FFFFFF"/>
                <w:sz w:val="20"/>
              </w:rPr>
              <w:t>Action</w:t>
            </w:r>
          </w:p>
        </w:tc>
        <w:tc>
          <w:tcPr>
            <w:tcW w:w="3514" w:type="dxa"/>
            <w:tcBorders>
              <w:top w:val="nil"/>
              <w:left w:val="nil"/>
              <w:bottom w:val="nil"/>
              <w:right w:val="nil"/>
            </w:tcBorders>
            <w:shd w:val="clear" w:color="auto" w:fill="00778B"/>
          </w:tcPr>
          <w:p>
            <w:pPr>
              <w:pStyle w:val="TableParagraph"/>
              <w:spacing w:before="115"/>
              <w:ind w:left="1377" w:right="1374"/>
              <w:jc w:val="center"/>
              <w:rPr>
                <w:b/>
                <w:sz w:val="20"/>
              </w:rPr>
            </w:pPr>
            <w:r>
              <w:rPr>
                <w:b/>
                <w:color w:val="FFFFFF"/>
                <w:sz w:val="20"/>
              </w:rPr>
              <w:t>Reason</w:t>
            </w:r>
          </w:p>
        </w:tc>
        <w:tc>
          <w:tcPr>
            <w:tcW w:w="8096" w:type="dxa"/>
            <w:tcBorders>
              <w:top w:val="nil"/>
              <w:left w:val="nil"/>
              <w:bottom w:val="nil"/>
              <w:right w:val="nil"/>
            </w:tcBorders>
            <w:shd w:val="clear" w:color="auto" w:fill="00778B"/>
          </w:tcPr>
          <w:p>
            <w:pPr>
              <w:pStyle w:val="TableParagraph"/>
              <w:spacing w:before="115"/>
              <w:ind w:left="3479" w:right="3475"/>
              <w:jc w:val="center"/>
              <w:rPr>
                <w:b/>
                <w:sz w:val="20"/>
              </w:rPr>
            </w:pPr>
            <w:r>
              <w:rPr>
                <w:b/>
                <w:color w:val="FFFFFF"/>
                <w:sz w:val="20"/>
              </w:rPr>
              <w:t>Description</w:t>
            </w:r>
          </w:p>
        </w:tc>
      </w:tr>
      <w:tr>
        <w:trPr>
          <w:trHeight w:val="354" w:hRule="atLeast"/>
        </w:trPr>
        <w:tc>
          <w:tcPr>
            <w:tcW w:w="1505" w:type="dxa"/>
            <w:vMerge w:val="restart"/>
          </w:tcPr>
          <w:p>
            <w:pPr>
              <w:pStyle w:val="TableParagraph"/>
              <w:spacing w:before="0"/>
              <w:ind w:left="0"/>
              <w:rPr>
                <w:rFonts w:ascii="Times New Roman"/>
                <w:sz w:val="18"/>
              </w:rPr>
            </w:pPr>
          </w:p>
        </w:tc>
        <w:tc>
          <w:tcPr>
            <w:tcW w:w="1812" w:type="dxa"/>
            <w:vMerge w:val="restart"/>
          </w:tcPr>
          <w:p>
            <w:pPr>
              <w:pStyle w:val="TableParagraph"/>
              <w:spacing w:before="0"/>
              <w:ind w:left="0"/>
              <w:rPr>
                <w:rFonts w:ascii="Times New Roman"/>
                <w:sz w:val="18"/>
              </w:rPr>
            </w:pPr>
          </w:p>
        </w:tc>
        <w:tc>
          <w:tcPr>
            <w:tcW w:w="3514" w:type="dxa"/>
          </w:tcPr>
          <w:p>
            <w:pPr>
              <w:pStyle w:val="TableParagraph"/>
              <w:spacing w:before="62"/>
              <w:rPr>
                <w:sz w:val="20"/>
              </w:rPr>
            </w:pPr>
            <w:r>
              <w:rPr>
                <w:color w:val="666666"/>
                <w:sz w:val="20"/>
              </w:rPr>
              <w:t>OSD – Off Scale Decrease</w:t>
            </w:r>
          </w:p>
        </w:tc>
        <w:tc>
          <w:tcPr>
            <w:tcW w:w="8096" w:type="dxa"/>
          </w:tcPr>
          <w:p>
            <w:pPr>
              <w:pStyle w:val="TableParagraph"/>
              <w:spacing w:before="62"/>
              <w:ind w:left="56"/>
              <w:rPr>
                <w:sz w:val="20"/>
              </w:rPr>
            </w:pPr>
            <w:r>
              <w:rPr>
                <w:color w:val="666666"/>
                <w:sz w:val="20"/>
              </w:rPr>
              <w:t>Decrease in off-scale salary component.</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ind w:right="926"/>
              <w:rPr>
                <w:sz w:val="20"/>
              </w:rPr>
            </w:pPr>
            <w:r>
              <w:rPr>
                <w:color w:val="666666"/>
                <w:sz w:val="20"/>
              </w:rPr>
              <w:t>PRO – Promotion/Academic Promotion</w:t>
            </w:r>
          </w:p>
        </w:tc>
        <w:tc>
          <w:tcPr>
            <w:tcW w:w="8096" w:type="dxa"/>
          </w:tcPr>
          <w:p>
            <w:pPr>
              <w:pStyle w:val="TableParagraph"/>
              <w:ind w:left="56"/>
              <w:rPr>
                <w:sz w:val="20"/>
              </w:rPr>
            </w:pPr>
            <w:r>
              <w:rPr>
                <w:color w:val="666666"/>
                <w:sz w:val="20"/>
              </w:rPr>
              <w:t>Used for pay rate change that occurs due to a Promotion.</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ind w:right="269"/>
              <w:rPr>
                <w:sz w:val="20"/>
              </w:rPr>
            </w:pPr>
            <w:r>
              <w:rPr>
                <w:color w:val="666666"/>
                <w:sz w:val="20"/>
              </w:rPr>
              <w:t>ROP – Change to Record-Only Pay Rate</w:t>
            </w:r>
          </w:p>
        </w:tc>
        <w:tc>
          <w:tcPr>
            <w:tcW w:w="8096" w:type="dxa"/>
          </w:tcPr>
          <w:p>
            <w:pPr>
              <w:pStyle w:val="TableParagraph"/>
              <w:ind w:left="56" w:right="872"/>
              <w:rPr>
                <w:sz w:val="20"/>
              </w:rPr>
            </w:pPr>
            <w:r>
              <w:rPr>
                <w:color w:val="666666"/>
                <w:sz w:val="20"/>
              </w:rPr>
              <w:t>Change to the rate of pay from a non-UC source that is being tracked for records purposes only, such as for Postdocs Paid Direct.</w:t>
            </w: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STI – Step Increase/Progression</w:t>
            </w:r>
          </w:p>
        </w:tc>
        <w:tc>
          <w:tcPr>
            <w:tcW w:w="8096" w:type="dxa"/>
          </w:tcPr>
          <w:p>
            <w:pPr>
              <w:pStyle w:val="TableParagraph"/>
              <w:ind w:left="56" w:right="161" w:hanging="1"/>
              <w:rPr>
                <w:sz w:val="20"/>
              </w:rPr>
            </w:pPr>
            <w:r>
              <w:rPr>
                <w:color w:val="666666"/>
                <w:sz w:val="20"/>
              </w:rPr>
              <w:t>A pay rate change that is an advancement to a higher step in accordance with applicable contract provisions. Will be used in the Administer Compensation business process.</w:t>
            </w: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U18 – Unit 18 Salary Increase</w:t>
            </w:r>
          </w:p>
        </w:tc>
        <w:tc>
          <w:tcPr>
            <w:tcW w:w="8096" w:type="dxa"/>
          </w:tcPr>
          <w:p>
            <w:pPr>
              <w:pStyle w:val="TableParagraph"/>
              <w:ind w:left="56"/>
              <w:rPr>
                <w:sz w:val="20"/>
              </w:rPr>
            </w:pPr>
            <w:r>
              <w:rPr>
                <w:color w:val="666666"/>
                <w:sz w:val="20"/>
              </w:rPr>
              <w:t>Contracted salary increase based on quarters of service or other reason.</w:t>
            </w:r>
          </w:p>
        </w:tc>
      </w:tr>
      <w:tr>
        <w:trPr>
          <w:trHeight w:val="808"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ind w:right="370"/>
              <w:rPr>
                <w:sz w:val="20"/>
              </w:rPr>
            </w:pPr>
            <w:r>
              <w:rPr>
                <w:color w:val="666666"/>
                <w:sz w:val="20"/>
              </w:rPr>
              <w:t>WOS – Move to WOS (Without Salary)</w:t>
            </w:r>
          </w:p>
        </w:tc>
        <w:tc>
          <w:tcPr>
            <w:tcW w:w="8096" w:type="dxa"/>
          </w:tcPr>
          <w:p>
            <w:pPr>
              <w:pStyle w:val="TableParagraph"/>
              <w:ind w:left="56" w:right="72"/>
              <w:rPr>
                <w:sz w:val="20"/>
              </w:rPr>
            </w:pPr>
            <w:r>
              <w:rPr>
                <w:color w:val="666666"/>
                <w:sz w:val="20"/>
              </w:rPr>
              <w:t>Used to move someone to the WOS comp rate code. The overnight paygroup assignment program will then move the EE to the ‘WOS’ paygroup based on his newly added ‘UCWOS’ Pay Component.</w:t>
            </w:r>
          </w:p>
        </w:tc>
      </w:tr>
      <w:tr>
        <w:trPr>
          <w:trHeight w:val="350" w:hRule="atLeast"/>
        </w:trPr>
        <w:tc>
          <w:tcPr>
            <w:tcW w:w="1505" w:type="dxa"/>
            <w:vMerge w:val="restart"/>
          </w:tcPr>
          <w:p>
            <w:pPr>
              <w:pStyle w:val="TableParagraph"/>
              <w:spacing w:before="0"/>
              <w:ind w:left="0"/>
              <w:rPr>
                <w:rFonts w:ascii="Times New Roman"/>
                <w:sz w:val="18"/>
              </w:rPr>
            </w:pPr>
          </w:p>
        </w:tc>
        <w:tc>
          <w:tcPr>
            <w:tcW w:w="1812" w:type="dxa"/>
            <w:vMerge w:val="restart"/>
          </w:tcPr>
          <w:p>
            <w:pPr>
              <w:pStyle w:val="TableParagraph"/>
              <w:spacing w:before="59"/>
              <w:ind w:right="226"/>
              <w:rPr>
                <w:sz w:val="20"/>
              </w:rPr>
            </w:pPr>
            <w:r>
              <w:rPr>
                <w:color w:val="666666"/>
                <w:sz w:val="20"/>
              </w:rPr>
              <w:t>POS – Position Change</w:t>
            </w:r>
          </w:p>
        </w:tc>
        <w:tc>
          <w:tcPr>
            <w:tcW w:w="3514" w:type="dxa"/>
          </w:tcPr>
          <w:p>
            <w:pPr>
              <w:pStyle w:val="TableParagraph"/>
              <w:spacing w:before="59"/>
              <w:rPr>
                <w:sz w:val="20"/>
              </w:rPr>
            </w:pPr>
            <w:r>
              <w:rPr>
                <w:color w:val="666666"/>
                <w:sz w:val="20"/>
              </w:rPr>
              <w:t>APU – APU Change</w:t>
            </w:r>
          </w:p>
        </w:tc>
        <w:tc>
          <w:tcPr>
            <w:tcW w:w="8096" w:type="dxa"/>
            <w:vMerge w:val="restart"/>
          </w:tcPr>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8"/>
              <w:ind w:left="0"/>
              <w:rPr>
                <w:rFonts w:ascii="Times New Roman"/>
                <w:sz w:val="29"/>
              </w:rPr>
            </w:pPr>
          </w:p>
          <w:p>
            <w:pPr>
              <w:pStyle w:val="TableParagraph"/>
              <w:spacing w:line="242" w:lineRule="auto" w:before="0"/>
              <w:ind w:left="56" w:right="39"/>
              <w:rPr>
                <w:sz w:val="20"/>
              </w:rPr>
            </w:pPr>
            <w:r>
              <w:rPr>
                <w:color w:val="666666"/>
                <w:sz w:val="20"/>
              </w:rPr>
              <w:t>These Action/Reason combinations are automatically copied to a row on the </w:t>
            </w:r>
            <w:r>
              <w:rPr>
                <w:b/>
                <w:color w:val="666666"/>
                <w:sz w:val="20"/>
              </w:rPr>
              <w:t>Job Data </w:t>
            </w:r>
            <w:r>
              <w:rPr>
                <w:color w:val="666666"/>
                <w:sz w:val="20"/>
              </w:rPr>
              <w:t>tab when a position change is made on the </w:t>
            </w:r>
            <w:r>
              <w:rPr>
                <w:b/>
                <w:color w:val="666666"/>
                <w:sz w:val="20"/>
              </w:rPr>
              <w:t>Position Data </w:t>
            </w:r>
            <w:r>
              <w:rPr>
                <w:color w:val="666666"/>
                <w:sz w:val="20"/>
              </w:rPr>
              <w:t>tab AND that change impacts incumbent Job Data information.</w:t>
            </w:r>
          </w:p>
          <w:p>
            <w:pPr>
              <w:pStyle w:val="TableParagraph"/>
              <w:spacing w:before="52"/>
              <w:ind w:left="56"/>
              <w:rPr>
                <w:sz w:val="20"/>
              </w:rPr>
            </w:pPr>
            <w:r>
              <w:rPr>
                <w:color w:val="666666"/>
                <w:sz w:val="20"/>
              </w:rPr>
              <w:t>Refer to </w:t>
            </w:r>
            <w:r>
              <w:rPr>
                <w:b/>
                <w:color w:val="666666"/>
                <w:sz w:val="20"/>
              </w:rPr>
              <w:t>Position Data </w:t>
            </w:r>
            <w:r>
              <w:rPr>
                <w:color w:val="666666"/>
                <w:sz w:val="20"/>
              </w:rPr>
              <w:t>action and reason codes above for description.</w:t>
            </w: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spacing w:before="59"/>
              <w:rPr>
                <w:sz w:val="20"/>
              </w:rPr>
            </w:pPr>
            <w:r>
              <w:rPr>
                <w:color w:val="666666"/>
                <w:sz w:val="20"/>
              </w:rPr>
              <w:t>CID – Change in Duty Station</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spacing w:before="59"/>
              <w:rPr>
                <w:sz w:val="20"/>
              </w:rPr>
            </w:pPr>
            <w:r>
              <w:rPr>
                <w:color w:val="666666"/>
                <w:sz w:val="20"/>
              </w:rPr>
              <w:t>COR – Position Data Correction</w:t>
            </w:r>
          </w:p>
        </w:tc>
        <w:tc>
          <w:tcPr>
            <w:tcW w:w="8096" w:type="dxa"/>
            <w:vMerge/>
            <w:tcBorders>
              <w:top w:val="nil"/>
            </w:tcBorders>
          </w:tcPr>
          <w:p>
            <w:pPr>
              <w:rPr>
                <w:sz w:val="2"/>
                <w:szCs w:val="2"/>
              </w:rPr>
            </w:pP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spacing w:before="59"/>
              <w:rPr>
                <w:sz w:val="20"/>
              </w:rPr>
            </w:pPr>
            <w:r>
              <w:rPr>
                <w:color w:val="666666"/>
                <w:sz w:val="20"/>
              </w:rPr>
              <w:t>ERC – Update Employee Relations Code</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FL2 – FLSA Update- Does Not Meet</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FL3 – FLSA Revert</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FLS – FLSA Override Due to Review</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FTE – Revert to Position FTE</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JFT – Job Data FTE Override</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LVL – Post Doc Level Progression</w:t>
            </w:r>
          </w:p>
        </w:tc>
        <w:tc>
          <w:tcPr>
            <w:tcW w:w="8096" w:type="dxa"/>
            <w:vMerge/>
            <w:tcBorders>
              <w:top w:val="nil"/>
            </w:tcBorders>
          </w:tcPr>
          <w:p>
            <w:pPr>
              <w:rPr>
                <w:sz w:val="2"/>
                <w:szCs w:val="2"/>
              </w:rPr>
            </w:pP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ind w:right="370"/>
              <w:rPr>
                <w:sz w:val="20"/>
              </w:rPr>
            </w:pPr>
            <w:r>
              <w:rPr>
                <w:color w:val="666666"/>
                <w:sz w:val="20"/>
              </w:rPr>
              <w:t>PIT – Permanent Increase In Time (FTE)</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PRI – Permanent Reduction - Layoff</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PRO – Promotion</w:t>
            </w:r>
          </w:p>
        </w:tc>
        <w:tc>
          <w:tcPr>
            <w:tcW w:w="8096" w:type="dxa"/>
            <w:vMerge/>
            <w:tcBorders>
              <w:top w:val="nil"/>
            </w:tcBorders>
          </w:tcPr>
          <w:p>
            <w:pPr>
              <w:rPr>
                <w:sz w:val="2"/>
                <w:szCs w:val="2"/>
              </w:rPr>
            </w:pPr>
          </w:p>
        </w:tc>
      </w:tr>
      <w:tr>
        <w:trPr>
          <w:trHeight w:val="58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ind w:right="147"/>
              <w:rPr>
                <w:sz w:val="20"/>
              </w:rPr>
            </w:pPr>
            <w:r>
              <w:rPr>
                <w:color w:val="666666"/>
                <w:sz w:val="20"/>
              </w:rPr>
              <w:t>PRT – Permanent Reduction In Time (FTE)</w:t>
            </w:r>
          </w:p>
        </w:tc>
        <w:tc>
          <w:tcPr>
            <w:tcW w:w="8096" w:type="dxa"/>
            <w:vMerge/>
            <w:tcBorders>
              <w:top w:val="nil"/>
            </w:tcBorders>
          </w:tcPr>
          <w:p>
            <w:pPr>
              <w:rPr>
                <w:sz w:val="2"/>
                <w:szCs w:val="2"/>
              </w:rPr>
            </w:pPr>
          </w:p>
        </w:tc>
      </w:tr>
    </w:tbl>
    <w:p>
      <w:pPr>
        <w:spacing w:after="0"/>
        <w:rPr>
          <w:sz w:val="2"/>
          <w:szCs w:val="2"/>
        </w:rPr>
        <w:sectPr>
          <w:pgSz w:w="15840" w:h="12240" w:orient="landscape"/>
          <w:pgMar w:header="316" w:footer="353" w:top="1600" w:bottom="540" w:left="260" w:right="420"/>
        </w:sectPr>
      </w:pPr>
    </w:p>
    <w:p>
      <w:pPr>
        <w:pStyle w:val="BodyText"/>
        <w:spacing w:before="2"/>
        <w:rPr>
          <w:rFonts w:ascii="Times New Roman"/>
          <w:sz w:val="11"/>
        </w:rPr>
      </w:pPr>
    </w:p>
    <w:tbl>
      <w:tblPr>
        <w:tblW w:w="0" w:type="auto"/>
        <w:jc w:val="left"/>
        <w:tblInd w:w="122"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505"/>
        <w:gridCol w:w="1812"/>
        <w:gridCol w:w="3514"/>
        <w:gridCol w:w="8096"/>
      </w:tblGrid>
      <w:tr>
        <w:trPr>
          <w:trHeight w:val="465" w:hRule="atLeast"/>
        </w:trPr>
        <w:tc>
          <w:tcPr>
            <w:tcW w:w="1505" w:type="dxa"/>
            <w:tcBorders>
              <w:top w:val="nil"/>
              <w:left w:val="nil"/>
              <w:bottom w:val="nil"/>
              <w:right w:val="nil"/>
            </w:tcBorders>
            <w:shd w:val="clear" w:color="auto" w:fill="00778B"/>
          </w:tcPr>
          <w:p>
            <w:pPr>
              <w:pStyle w:val="TableParagraph"/>
              <w:spacing w:before="115"/>
              <w:ind w:left="496" w:right="489"/>
              <w:jc w:val="center"/>
              <w:rPr>
                <w:b/>
                <w:sz w:val="20"/>
              </w:rPr>
            </w:pPr>
            <w:r>
              <w:rPr>
                <w:b/>
                <w:color w:val="FFFFFF"/>
                <w:sz w:val="20"/>
              </w:rPr>
              <w:t>Page</w:t>
            </w:r>
          </w:p>
        </w:tc>
        <w:tc>
          <w:tcPr>
            <w:tcW w:w="1812" w:type="dxa"/>
            <w:tcBorders>
              <w:top w:val="nil"/>
              <w:left w:val="nil"/>
              <w:bottom w:val="nil"/>
              <w:right w:val="nil"/>
            </w:tcBorders>
            <w:shd w:val="clear" w:color="auto" w:fill="00778B"/>
          </w:tcPr>
          <w:p>
            <w:pPr>
              <w:pStyle w:val="TableParagraph"/>
              <w:spacing w:before="115"/>
              <w:ind w:left="597"/>
              <w:rPr>
                <w:b/>
                <w:sz w:val="20"/>
              </w:rPr>
            </w:pPr>
            <w:r>
              <w:rPr>
                <w:b/>
                <w:color w:val="FFFFFF"/>
                <w:sz w:val="20"/>
              </w:rPr>
              <w:t>Action</w:t>
            </w:r>
          </w:p>
        </w:tc>
        <w:tc>
          <w:tcPr>
            <w:tcW w:w="3514" w:type="dxa"/>
            <w:tcBorders>
              <w:top w:val="nil"/>
              <w:left w:val="nil"/>
              <w:bottom w:val="nil"/>
              <w:right w:val="nil"/>
            </w:tcBorders>
            <w:shd w:val="clear" w:color="auto" w:fill="00778B"/>
          </w:tcPr>
          <w:p>
            <w:pPr>
              <w:pStyle w:val="TableParagraph"/>
              <w:spacing w:before="115"/>
              <w:ind w:left="1377" w:right="1374"/>
              <w:jc w:val="center"/>
              <w:rPr>
                <w:b/>
                <w:sz w:val="20"/>
              </w:rPr>
            </w:pPr>
            <w:r>
              <w:rPr>
                <w:b/>
                <w:color w:val="FFFFFF"/>
                <w:sz w:val="20"/>
              </w:rPr>
              <w:t>Reason</w:t>
            </w:r>
          </w:p>
        </w:tc>
        <w:tc>
          <w:tcPr>
            <w:tcW w:w="8096" w:type="dxa"/>
            <w:tcBorders>
              <w:top w:val="nil"/>
              <w:left w:val="nil"/>
              <w:bottom w:val="nil"/>
              <w:right w:val="nil"/>
            </w:tcBorders>
            <w:shd w:val="clear" w:color="auto" w:fill="00778B"/>
          </w:tcPr>
          <w:p>
            <w:pPr>
              <w:pStyle w:val="TableParagraph"/>
              <w:spacing w:before="115"/>
              <w:ind w:left="3479" w:right="3475"/>
              <w:jc w:val="center"/>
              <w:rPr>
                <w:b/>
                <w:sz w:val="20"/>
              </w:rPr>
            </w:pPr>
            <w:r>
              <w:rPr>
                <w:b/>
                <w:color w:val="FFFFFF"/>
                <w:sz w:val="20"/>
              </w:rPr>
              <w:t>Description</w:t>
            </w:r>
          </w:p>
        </w:tc>
      </w:tr>
      <w:tr>
        <w:trPr>
          <w:trHeight w:val="354" w:hRule="atLeast"/>
        </w:trPr>
        <w:tc>
          <w:tcPr>
            <w:tcW w:w="1505" w:type="dxa"/>
            <w:vMerge w:val="restart"/>
          </w:tcPr>
          <w:p>
            <w:pPr>
              <w:pStyle w:val="TableParagraph"/>
              <w:spacing w:before="0"/>
              <w:ind w:left="0"/>
              <w:rPr>
                <w:rFonts w:ascii="Times New Roman"/>
                <w:sz w:val="18"/>
              </w:rPr>
            </w:pPr>
          </w:p>
        </w:tc>
        <w:tc>
          <w:tcPr>
            <w:tcW w:w="1812" w:type="dxa"/>
            <w:vMerge w:val="restart"/>
          </w:tcPr>
          <w:p>
            <w:pPr>
              <w:pStyle w:val="TableParagraph"/>
              <w:spacing w:before="0"/>
              <w:ind w:left="0"/>
              <w:rPr>
                <w:rFonts w:ascii="Times New Roman"/>
                <w:sz w:val="18"/>
              </w:rPr>
            </w:pPr>
          </w:p>
        </w:tc>
        <w:tc>
          <w:tcPr>
            <w:tcW w:w="3514" w:type="dxa"/>
          </w:tcPr>
          <w:p>
            <w:pPr>
              <w:pStyle w:val="TableParagraph"/>
              <w:spacing w:before="62"/>
              <w:rPr>
                <w:sz w:val="20"/>
              </w:rPr>
            </w:pPr>
            <w:r>
              <w:rPr>
                <w:color w:val="666666"/>
                <w:sz w:val="20"/>
              </w:rPr>
              <w:t>REG – Regularization</w:t>
            </w:r>
          </w:p>
        </w:tc>
        <w:tc>
          <w:tcPr>
            <w:tcW w:w="8096" w:type="dxa"/>
            <w:vMerge w:val="restart"/>
          </w:tcPr>
          <w:p>
            <w:pPr>
              <w:pStyle w:val="TableParagraph"/>
              <w:spacing w:before="0"/>
              <w:ind w:left="0"/>
              <w:rPr>
                <w:rFonts w:ascii="Times New Roman"/>
                <w:sz w:val="18"/>
              </w:rPr>
            </w:pP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REO – Re-Organization/Restructure</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RTC – Reports To Change</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SEC – Series Change</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TIT – Temporary Increase in Time</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TRT – Temporary Reduction in Time</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XFR – Transfer</w:t>
            </w:r>
          </w:p>
        </w:tc>
        <w:tc>
          <w:tcPr>
            <w:tcW w:w="8096" w:type="dxa"/>
            <w:vMerge/>
            <w:tcBorders>
              <w:top w:val="nil"/>
            </w:tcBorders>
          </w:tcPr>
          <w:p>
            <w:pPr>
              <w:rPr>
                <w:sz w:val="2"/>
                <w:szCs w:val="2"/>
              </w:rPr>
            </w:pPr>
          </w:p>
        </w:tc>
      </w:tr>
      <w:tr>
        <w:trPr>
          <w:trHeight w:val="810" w:hRule="atLeast"/>
        </w:trPr>
        <w:tc>
          <w:tcPr>
            <w:tcW w:w="1505" w:type="dxa"/>
            <w:vMerge/>
            <w:tcBorders>
              <w:top w:val="nil"/>
            </w:tcBorders>
          </w:tcPr>
          <w:p>
            <w:pPr>
              <w:rPr>
                <w:sz w:val="2"/>
                <w:szCs w:val="2"/>
              </w:rPr>
            </w:pPr>
          </w:p>
        </w:tc>
        <w:tc>
          <w:tcPr>
            <w:tcW w:w="1812" w:type="dxa"/>
          </w:tcPr>
          <w:p>
            <w:pPr>
              <w:pStyle w:val="TableParagraph"/>
              <w:rPr>
                <w:sz w:val="20"/>
              </w:rPr>
            </w:pPr>
            <w:r>
              <w:rPr>
                <w:color w:val="666666"/>
                <w:sz w:val="20"/>
              </w:rPr>
              <w:t>RES –</w:t>
            </w:r>
          </w:p>
          <w:p>
            <w:pPr>
              <w:pStyle w:val="TableParagraph"/>
              <w:spacing w:before="0"/>
              <w:ind w:right="226"/>
              <w:rPr>
                <w:sz w:val="20"/>
              </w:rPr>
            </w:pPr>
            <w:r>
              <w:rPr>
                <w:color w:val="666666"/>
                <w:w w:val="95"/>
                <w:sz w:val="20"/>
              </w:rPr>
              <w:t>Reserve/Faculty </w:t>
            </w:r>
            <w:r>
              <w:rPr>
                <w:color w:val="666666"/>
                <w:sz w:val="20"/>
              </w:rPr>
              <w:t>Abeyance</w:t>
            </w:r>
          </w:p>
        </w:tc>
        <w:tc>
          <w:tcPr>
            <w:tcW w:w="3514" w:type="dxa"/>
          </w:tcPr>
          <w:p>
            <w:pPr>
              <w:pStyle w:val="TableParagraph"/>
              <w:rPr>
                <w:sz w:val="20"/>
              </w:rPr>
            </w:pPr>
            <w:r>
              <w:rPr>
                <w:color w:val="666666"/>
                <w:sz w:val="20"/>
              </w:rPr>
              <w:t>ABY – Faculty Abeyance</w:t>
            </w:r>
          </w:p>
        </w:tc>
        <w:tc>
          <w:tcPr>
            <w:tcW w:w="8096" w:type="dxa"/>
          </w:tcPr>
          <w:p>
            <w:pPr>
              <w:pStyle w:val="TableParagraph"/>
              <w:spacing w:before="0"/>
              <w:ind w:left="56"/>
              <w:rPr>
                <w:sz w:val="20"/>
              </w:rPr>
            </w:pPr>
            <w:r>
              <w:rPr>
                <w:color w:val="666666"/>
                <w:sz w:val="20"/>
              </w:rPr>
              <w:t>Used to place a faculty job in abeyance. Employee has another full time administrator position.</w:t>
            </w:r>
          </w:p>
        </w:tc>
      </w:tr>
      <w:tr>
        <w:trPr>
          <w:trHeight w:val="580" w:hRule="atLeast"/>
        </w:trPr>
        <w:tc>
          <w:tcPr>
            <w:tcW w:w="1505" w:type="dxa"/>
            <w:vMerge/>
            <w:tcBorders>
              <w:top w:val="nil"/>
            </w:tcBorders>
          </w:tcPr>
          <w:p>
            <w:pPr>
              <w:rPr>
                <w:sz w:val="2"/>
                <w:szCs w:val="2"/>
              </w:rPr>
            </w:pPr>
          </w:p>
        </w:tc>
        <w:tc>
          <w:tcPr>
            <w:tcW w:w="1812" w:type="dxa"/>
          </w:tcPr>
          <w:p>
            <w:pPr>
              <w:pStyle w:val="TableParagraph"/>
              <w:rPr>
                <w:sz w:val="20"/>
              </w:rPr>
            </w:pPr>
            <w:r>
              <w:rPr>
                <w:color w:val="666666"/>
                <w:sz w:val="20"/>
              </w:rPr>
              <w:t>RFR - Return from </w:t>
            </w:r>
            <w:r>
              <w:rPr>
                <w:color w:val="666666"/>
                <w:w w:val="95"/>
                <w:sz w:val="20"/>
              </w:rPr>
              <w:t>Reserve/Abeyance</w:t>
            </w:r>
          </w:p>
        </w:tc>
        <w:tc>
          <w:tcPr>
            <w:tcW w:w="3514" w:type="dxa"/>
          </w:tcPr>
          <w:p>
            <w:pPr>
              <w:pStyle w:val="TableParagraph"/>
              <w:rPr>
                <w:sz w:val="20"/>
              </w:rPr>
            </w:pPr>
            <w:r>
              <w:rPr>
                <w:color w:val="666666"/>
                <w:sz w:val="20"/>
              </w:rPr>
              <w:t>RFR – Return to Normal Appointment</w:t>
            </w:r>
          </w:p>
        </w:tc>
        <w:tc>
          <w:tcPr>
            <w:tcW w:w="8096" w:type="dxa"/>
          </w:tcPr>
          <w:p>
            <w:pPr>
              <w:pStyle w:val="TableParagraph"/>
              <w:ind w:left="56"/>
              <w:rPr>
                <w:sz w:val="20"/>
              </w:rPr>
            </w:pPr>
            <w:r>
              <w:rPr>
                <w:color w:val="666666"/>
                <w:sz w:val="20"/>
              </w:rPr>
              <w:t>Used to return an EE from abeyance</w:t>
            </w:r>
          </w:p>
        </w:tc>
      </w:tr>
      <w:tr>
        <w:trPr>
          <w:trHeight w:val="1329" w:hRule="atLeast"/>
        </w:trPr>
        <w:tc>
          <w:tcPr>
            <w:tcW w:w="1505" w:type="dxa"/>
            <w:vMerge/>
            <w:tcBorders>
              <w:top w:val="nil"/>
            </w:tcBorders>
          </w:tcPr>
          <w:p>
            <w:pPr>
              <w:rPr>
                <w:sz w:val="2"/>
                <w:szCs w:val="2"/>
              </w:rPr>
            </w:pPr>
          </w:p>
        </w:tc>
        <w:tc>
          <w:tcPr>
            <w:tcW w:w="1812" w:type="dxa"/>
            <w:vMerge w:val="restart"/>
          </w:tcPr>
          <w:p>
            <w:pPr>
              <w:pStyle w:val="TableParagraph"/>
              <w:ind w:right="46"/>
              <w:rPr>
                <w:sz w:val="20"/>
              </w:rPr>
            </w:pPr>
            <w:r>
              <w:rPr>
                <w:color w:val="666666"/>
                <w:sz w:val="20"/>
              </w:rPr>
              <w:t>SWB – Short Work Break</w:t>
            </w:r>
          </w:p>
        </w:tc>
        <w:tc>
          <w:tcPr>
            <w:tcW w:w="3514" w:type="dxa"/>
          </w:tcPr>
          <w:p>
            <w:pPr>
              <w:pStyle w:val="TableParagraph"/>
              <w:rPr>
                <w:sz w:val="20"/>
              </w:rPr>
            </w:pPr>
            <w:r>
              <w:rPr>
                <w:color w:val="666666"/>
                <w:sz w:val="20"/>
              </w:rPr>
              <w:t>BEN – U18-Benefits Bridge Eligible</w:t>
            </w:r>
          </w:p>
        </w:tc>
        <w:tc>
          <w:tcPr>
            <w:tcW w:w="8096" w:type="dxa"/>
          </w:tcPr>
          <w:p>
            <w:pPr>
              <w:pStyle w:val="TableParagraph"/>
              <w:ind w:left="56" w:right="504"/>
              <w:jc w:val="both"/>
              <w:rPr>
                <w:sz w:val="20"/>
              </w:rPr>
            </w:pPr>
            <w:r>
              <w:rPr>
                <w:color w:val="666666"/>
                <w:sz w:val="20"/>
              </w:rPr>
              <w:t>Used to put Unit 18 employee off pay status in between quarters/ semesters of</w:t>
            </w:r>
            <w:r>
              <w:rPr>
                <w:color w:val="666666"/>
                <w:spacing w:val="-38"/>
                <w:sz w:val="20"/>
              </w:rPr>
              <w:t> </w:t>
            </w:r>
            <w:r>
              <w:rPr>
                <w:color w:val="666666"/>
                <w:sz w:val="20"/>
              </w:rPr>
              <w:t>active employment. The employee is eligible to request a Benefits</w:t>
            </w:r>
            <w:r>
              <w:rPr>
                <w:color w:val="666666"/>
                <w:spacing w:val="-11"/>
                <w:sz w:val="20"/>
              </w:rPr>
              <w:t> </w:t>
            </w:r>
            <w:r>
              <w:rPr>
                <w:color w:val="666666"/>
                <w:sz w:val="20"/>
              </w:rPr>
              <w:t>Bridge.</w:t>
            </w:r>
          </w:p>
          <w:p>
            <w:pPr>
              <w:pStyle w:val="TableParagraph"/>
              <w:spacing w:before="61"/>
              <w:ind w:left="56" w:right="504"/>
              <w:jc w:val="both"/>
              <w:rPr>
                <w:sz w:val="20"/>
              </w:rPr>
            </w:pPr>
            <w:r>
              <w:rPr>
                <w:color w:val="666666"/>
                <w:sz w:val="20"/>
              </w:rPr>
              <w:t>Criteria: Limited to 3 consecutive months. Non-Continuing Unit 18 titles must have an approved job to which they will return at the end of the SWB, otherwise a termination should occur.</w:t>
            </w:r>
          </w:p>
        </w:tc>
      </w:tr>
      <w:tr>
        <w:trPr>
          <w:trHeight w:val="1329"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GST – Academic Students</w:t>
            </w:r>
          </w:p>
        </w:tc>
        <w:tc>
          <w:tcPr>
            <w:tcW w:w="8096" w:type="dxa"/>
          </w:tcPr>
          <w:p>
            <w:pPr>
              <w:pStyle w:val="TableParagraph"/>
              <w:ind w:left="56" w:right="1206"/>
              <w:rPr>
                <w:sz w:val="20"/>
              </w:rPr>
            </w:pPr>
            <w:r>
              <w:rPr>
                <w:color w:val="666666"/>
                <w:sz w:val="20"/>
              </w:rPr>
              <w:t>Used to put academic students off pay status over the summer or in between quarters/semesters.</w:t>
            </w:r>
          </w:p>
          <w:p>
            <w:pPr>
              <w:pStyle w:val="TableParagraph"/>
              <w:spacing w:before="61"/>
              <w:ind w:left="56" w:right="67"/>
              <w:jc w:val="both"/>
              <w:rPr>
                <w:sz w:val="20"/>
              </w:rPr>
            </w:pPr>
            <w:r>
              <w:rPr>
                <w:color w:val="666666"/>
                <w:sz w:val="20"/>
              </w:rPr>
              <w:t>Criteria: Limited to 4 consecutive months. Must only be used when there is intent to return to student employment at the end of the SWB, but the job does not necessarily need to be in place.</w:t>
            </w:r>
          </w:p>
        </w:tc>
      </w:tr>
      <w:tr>
        <w:trPr>
          <w:trHeight w:val="1101"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RFB – Research Funding Bridge</w:t>
            </w:r>
          </w:p>
        </w:tc>
        <w:tc>
          <w:tcPr>
            <w:tcW w:w="8096" w:type="dxa"/>
          </w:tcPr>
          <w:p>
            <w:pPr>
              <w:pStyle w:val="TableParagraph"/>
              <w:ind w:left="56"/>
              <w:rPr>
                <w:sz w:val="20"/>
              </w:rPr>
            </w:pPr>
            <w:r>
              <w:rPr>
                <w:color w:val="666666"/>
                <w:sz w:val="20"/>
              </w:rPr>
              <w:t>Used to place an employee that is awaiting research funding on SWB.</w:t>
            </w:r>
          </w:p>
          <w:p>
            <w:pPr>
              <w:pStyle w:val="TableParagraph"/>
              <w:spacing w:before="60"/>
              <w:ind w:left="56"/>
              <w:rPr>
                <w:sz w:val="20"/>
              </w:rPr>
            </w:pPr>
            <w:r>
              <w:rPr>
                <w:color w:val="666666"/>
                <w:sz w:val="20"/>
              </w:rPr>
              <w:t>Criteria: Limited to 4 consecutive months. Used when the employee is not working and there is an approved reappointment that is pending the arrival of contract/grant funding. There must be proof of incoming funding.</w:t>
            </w:r>
          </w:p>
        </w:tc>
      </w:tr>
      <w:tr>
        <w:trPr>
          <w:trHeight w:val="1329" w:hRule="atLeast"/>
        </w:trPr>
        <w:tc>
          <w:tcPr>
            <w:tcW w:w="1505" w:type="dxa"/>
            <w:vMerge/>
            <w:tcBorders>
              <w:top w:val="nil"/>
            </w:tcBorders>
          </w:tcPr>
          <w:p>
            <w:pPr>
              <w:rPr>
                <w:sz w:val="2"/>
                <w:szCs w:val="2"/>
              </w:rPr>
            </w:pPr>
          </w:p>
        </w:tc>
        <w:tc>
          <w:tcPr>
            <w:tcW w:w="1812" w:type="dxa"/>
            <w:vMerge/>
            <w:tcBorders>
              <w:top w:val="nil"/>
            </w:tcBorders>
          </w:tcPr>
          <w:p>
            <w:pPr>
              <w:rPr>
                <w:sz w:val="2"/>
                <w:szCs w:val="2"/>
              </w:rPr>
            </w:pPr>
          </w:p>
        </w:tc>
        <w:tc>
          <w:tcPr>
            <w:tcW w:w="3514" w:type="dxa"/>
          </w:tcPr>
          <w:p>
            <w:pPr>
              <w:pStyle w:val="TableParagraph"/>
              <w:rPr>
                <w:sz w:val="20"/>
              </w:rPr>
            </w:pPr>
            <w:r>
              <w:rPr>
                <w:color w:val="666666"/>
                <w:sz w:val="20"/>
              </w:rPr>
              <w:t>U18 – U18-Benefits Bridge Not Elig</w:t>
            </w:r>
          </w:p>
        </w:tc>
        <w:tc>
          <w:tcPr>
            <w:tcW w:w="8096" w:type="dxa"/>
          </w:tcPr>
          <w:p>
            <w:pPr>
              <w:pStyle w:val="TableParagraph"/>
              <w:ind w:left="56"/>
              <w:rPr>
                <w:sz w:val="20"/>
              </w:rPr>
            </w:pPr>
            <w:r>
              <w:rPr>
                <w:color w:val="666666"/>
                <w:sz w:val="20"/>
              </w:rPr>
              <w:t>Used to put Unit 18 employee off pay status in between quarters/ semesters of active employment. The employee is not eligible to request a Benefits Bridge.</w:t>
            </w:r>
          </w:p>
          <w:p>
            <w:pPr>
              <w:pStyle w:val="TableParagraph"/>
              <w:spacing w:before="61"/>
              <w:ind w:left="56"/>
              <w:rPr>
                <w:sz w:val="20"/>
              </w:rPr>
            </w:pPr>
            <w:r>
              <w:rPr>
                <w:color w:val="666666"/>
                <w:sz w:val="20"/>
              </w:rPr>
              <w:t>Criteria: Limited to 12 consecutive months. Non-Continuing Unit 18 titles must have an approved job to which they will return at the end of the SWB, otherwise a termination should occur.</w:t>
            </w:r>
          </w:p>
        </w:tc>
      </w:tr>
    </w:tbl>
    <w:p>
      <w:pPr>
        <w:spacing w:after="0"/>
        <w:rPr>
          <w:sz w:val="20"/>
        </w:rPr>
        <w:sectPr>
          <w:pgSz w:w="15840" w:h="12240" w:orient="landscape"/>
          <w:pgMar w:header="316" w:footer="353" w:top="1600" w:bottom="540" w:left="260" w:right="420"/>
        </w:sectPr>
      </w:pPr>
    </w:p>
    <w:p>
      <w:pPr>
        <w:pStyle w:val="BodyText"/>
        <w:spacing w:before="2"/>
        <w:rPr>
          <w:rFonts w:ascii="Times New Roman"/>
          <w:sz w:val="11"/>
        </w:rPr>
      </w:pPr>
    </w:p>
    <w:tbl>
      <w:tblPr>
        <w:tblW w:w="0" w:type="auto"/>
        <w:jc w:val="left"/>
        <w:tblInd w:w="122"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507"/>
        <w:gridCol w:w="1812"/>
        <w:gridCol w:w="3511"/>
        <w:gridCol w:w="8095"/>
      </w:tblGrid>
      <w:tr>
        <w:trPr>
          <w:trHeight w:val="465" w:hRule="atLeast"/>
        </w:trPr>
        <w:tc>
          <w:tcPr>
            <w:tcW w:w="1507" w:type="dxa"/>
            <w:tcBorders>
              <w:top w:val="nil"/>
              <w:left w:val="nil"/>
              <w:bottom w:val="nil"/>
              <w:right w:val="nil"/>
            </w:tcBorders>
            <w:shd w:val="clear" w:color="auto" w:fill="00778B"/>
          </w:tcPr>
          <w:p>
            <w:pPr>
              <w:pStyle w:val="TableParagraph"/>
              <w:spacing w:before="115"/>
              <w:ind w:left="496" w:right="491"/>
              <w:jc w:val="center"/>
              <w:rPr>
                <w:b/>
                <w:sz w:val="20"/>
              </w:rPr>
            </w:pPr>
            <w:r>
              <w:rPr>
                <w:b/>
                <w:color w:val="FFFFFF"/>
                <w:sz w:val="20"/>
              </w:rPr>
              <w:t>Page</w:t>
            </w:r>
          </w:p>
        </w:tc>
        <w:tc>
          <w:tcPr>
            <w:tcW w:w="1812" w:type="dxa"/>
            <w:tcBorders>
              <w:top w:val="nil"/>
              <w:left w:val="nil"/>
              <w:bottom w:val="nil"/>
              <w:right w:val="nil"/>
            </w:tcBorders>
            <w:shd w:val="clear" w:color="auto" w:fill="00778B"/>
          </w:tcPr>
          <w:p>
            <w:pPr>
              <w:pStyle w:val="TableParagraph"/>
              <w:spacing w:before="115"/>
              <w:ind w:left="595"/>
              <w:rPr>
                <w:b/>
                <w:sz w:val="20"/>
              </w:rPr>
            </w:pPr>
            <w:r>
              <w:rPr>
                <w:b/>
                <w:color w:val="FFFFFF"/>
                <w:sz w:val="20"/>
              </w:rPr>
              <w:t>Action</w:t>
            </w:r>
          </w:p>
        </w:tc>
        <w:tc>
          <w:tcPr>
            <w:tcW w:w="3511" w:type="dxa"/>
            <w:tcBorders>
              <w:top w:val="nil"/>
              <w:left w:val="nil"/>
              <w:bottom w:val="nil"/>
              <w:right w:val="nil"/>
            </w:tcBorders>
            <w:shd w:val="clear" w:color="auto" w:fill="00778B"/>
          </w:tcPr>
          <w:p>
            <w:pPr>
              <w:pStyle w:val="TableParagraph"/>
              <w:spacing w:before="115"/>
              <w:ind w:left="1375" w:right="1373"/>
              <w:jc w:val="center"/>
              <w:rPr>
                <w:b/>
                <w:sz w:val="20"/>
              </w:rPr>
            </w:pPr>
            <w:r>
              <w:rPr>
                <w:b/>
                <w:color w:val="FFFFFF"/>
                <w:sz w:val="20"/>
              </w:rPr>
              <w:t>Reason</w:t>
            </w:r>
          </w:p>
        </w:tc>
        <w:tc>
          <w:tcPr>
            <w:tcW w:w="8095" w:type="dxa"/>
            <w:tcBorders>
              <w:top w:val="nil"/>
              <w:left w:val="nil"/>
              <w:bottom w:val="nil"/>
              <w:right w:val="nil"/>
            </w:tcBorders>
            <w:shd w:val="clear" w:color="auto" w:fill="00778B"/>
          </w:tcPr>
          <w:p>
            <w:pPr>
              <w:pStyle w:val="TableParagraph"/>
              <w:spacing w:before="115"/>
              <w:ind w:left="0" w:right="3492"/>
              <w:jc w:val="right"/>
              <w:rPr>
                <w:b/>
                <w:sz w:val="20"/>
              </w:rPr>
            </w:pPr>
            <w:r>
              <w:rPr>
                <w:b/>
                <w:color w:val="FFFFFF"/>
                <w:sz w:val="20"/>
              </w:rPr>
              <w:t>Description</w:t>
            </w:r>
          </w:p>
        </w:tc>
      </w:tr>
      <w:tr>
        <w:trPr>
          <w:trHeight w:val="1106" w:hRule="atLeast"/>
        </w:trPr>
        <w:tc>
          <w:tcPr>
            <w:tcW w:w="1507" w:type="dxa"/>
            <w:vMerge w:val="restart"/>
          </w:tcPr>
          <w:p>
            <w:pPr>
              <w:pStyle w:val="TableParagraph"/>
              <w:spacing w:before="0"/>
              <w:ind w:left="0"/>
              <w:rPr>
                <w:rFonts w:ascii="Times New Roman"/>
                <w:sz w:val="18"/>
              </w:rPr>
            </w:pPr>
          </w:p>
        </w:tc>
        <w:tc>
          <w:tcPr>
            <w:tcW w:w="1812" w:type="dxa"/>
            <w:vMerge w:val="restart"/>
          </w:tcPr>
          <w:p>
            <w:pPr>
              <w:pStyle w:val="TableParagraph"/>
              <w:spacing w:before="0"/>
              <w:ind w:left="0"/>
              <w:rPr>
                <w:rFonts w:ascii="Times New Roman"/>
                <w:sz w:val="18"/>
              </w:rPr>
            </w:pPr>
          </w:p>
        </w:tc>
        <w:tc>
          <w:tcPr>
            <w:tcW w:w="3511" w:type="dxa"/>
          </w:tcPr>
          <w:p>
            <w:pPr>
              <w:pStyle w:val="TableParagraph"/>
              <w:spacing w:before="62"/>
              <w:ind w:left="55"/>
              <w:rPr>
                <w:sz w:val="20"/>
              </w:rPr>
            </w:pPr>
            <w:r>
              <w:rPr>
                <w:color w:val="666666"/>
                <w:sz w:val="20"/>
              </w:rPr>
              <w:t>UNX – University Extension</w:t>
            </w:r>
          </w:p>
        </w:tc>
        <w:tc>
          <w:tcPr>
            <w:tcW w:w="8095" w:type="dxa"/>
          </w:tcPr>
          <w:p>
            <w:pPr>
              <w:pStyle w:val="TableParagraph"/>
              <w:spacing w:before="62"/>
              <w:rPr>
                <w:sz w:val="20"/>
              </w:rPr>
            </w:pPr>
            <w:r>
              <w:rPr>
                <w:color w:val="666666"/>
                <w:sz w:val="20"/>
              </w:rPr>
              <w:t>Used to put a UNEX Teacher off pay status in between periods of active employment.</w:t>
            </w:r>
          </w:p>
          <w:p>
            <w:pPr>
              <w:pStyle w:val="TableParagraph"/>
              <w:spacing w:before="60"/>
              <w:ind w:right="248"/>
              <w:rPr>
                <w:sz w:val="20"/>
              </w:rPr>
            </w:pPr>
            <w:r>
              <w:rPr>
                <w:color w:val="666666"/>
                <w:sz w:val="20"/>
              </w:rPr>
              <w:t>Criteria: Limited to 6 consecutive months. Must only be used when there is an approved job/contract to which they will return at the end of the SWB, otherwise a termination should occur.</w:t>
            </w:r>
          </w:p>
        </w:tc>
      </w:tr>
      <w:tr>
        <w:trPr>
          <w:trHeight w:val="1098" w:hRule="atLeast"/>
        </w:trPr>
        <w:tc>
          <w:tcPr>
            <w:tcW w:w="1507" w:type="dxa"/>
            <w:vMerge/>
            <w:tcBorders>
              <w:top w:val="nil"/>
            </w:tcBorders>
          </w:tcPr>
          <w:p>
            <w:pPr>
              <w:rPr>
                <w:sz w:val="2"/>
                <w:szCs w:val="2"/>
              </w:rPr>
            </w:pPr>
          </w:p>
        </w:tc>
        <w:tc>
          <w:tcPr>
            <w:tcW w:w="1812" w:type="dxa"/>
            <w:vMerge/>
            <w:tcBorders>
              <w:top w:val="nil"/>
            </w:tcBorders>
          </w:tcPr>
          <w:p>
            <w:pPr>
              <w:rPr>
                <w:sz w:val="2"/>
                <w:szCs w:val="2"/>
              </w:rPr>
            </w:pPr>
          </w:p>
        </w:tc>
        <w:tc>
          <w:tcPr>
            <w:tcW w:w="3511" w:type="dxa"/>
          </w:tcPr>
          <w:p>
            <w:pPr>
              <w:pStyle w:val="TableParagraph"/>
              <w:ind w:left="55" w:right="1124"/>
              <w:rPr>
                <w:sz w:val="20"/>
              </w:rPr>
            </w:pPr>
            <w:r>
              <w:rPr>
                <w:color w:val="666666"/>
                <w:sz w:val="20"/>
              </w:rPr>
              <w:t>VAR – Academic Variable Appointment</w:t>
            </w:r>
          </w:p>
        </w:tc>
        <w:tc>
          <w:tcPr>
            <w:tcW w:w="8095" w:type="dxa"/>
          </w:tcPr>
          <w:p>
            <w:pPr>
              <w:pStyle w:val="TableParagraph"/>
              <w:ind w:right="148"/>
              <w:rPr>
                <w:sz w:val="20"/>
              </w:rPr>
            </w:pPr>
            <w:r>
              <w:rPr>
                <w:color w:val="666666"/>
                <w:sz w:val="20"/>
              </w:rPr>
              <w:t>Used to put an exempt academic employee with a highly variable schedule off pay status in between periods of active employment.</w:t>
            </w:r>
          </w:p>
          <w:p>
            <w:pPr>
              <w:pStyle w:val="TableParagraph"/>
              <w:spacing w:before="61"/>
              <w:ind w:right="337"/>
              <w:rPr>
                <w:sz w:val="20"/>
              </w:rPr>
            </w:pPr>
            <w:r>
              <w:rPr>
                <w:color w:val="666666"/>
                <w:sz w:val="20"/>
              </w:rPr>
              <w:t>Criteria: Limited to 12 consecutive months. Used during periods of inactivity for exempt academic appointees with intermittent service (e.g. seasonal or on-call).</w:t>
            </w:r>
          </w:p>
        </w:tc>
      </w:tr>
      <w:tr>
        <w:trPr>
          <w:trHeight w:val="580" w:hRule="atLeast"/>
        </w:trPr>
        <w:tc>
          <w:tcPr>
            <w:tcW w:w="1507" w:type="dxa"/>
            <w:vMerge/>
            <w:tcBorders>
              <w:top w:val="nil"/>
            </w:tcBorders>
          </w:tcPr>
          <w:p>
            <w:pPr>
              <w:rPr>
                <w:sz w:val="2"/>
                <w:szCs w:val="2"/>
              </w:rPr>
            </w:pPr>
          </w:p>
        </w:tc>
        <w:tc>
          <w:tcPr>
            <w:tcW w:w="1812" w:type="dxa"/>
          </w:tcPr>
          <w:p>
            <w:pPr>
              <w:pStyle w:val="TableParagraph"/>
              <w:ind w:left="55" w:right="226"/>
              <w:rPr>
                <w:sz w:val="20"/>
              </w:rPr>
            </w:pPr>
            <w:r>
              <w:rPr>
                <w:color w:val="666666"/>
                <w:sz w:val="20"/>
              </w:rPr>
              <w:t>RWB – Return from Work Break</w:t>
            </w:r>
          </w:p>
        </w:tc>
        <w:tc>
          <w:tcPr>
            <w:tcW w:w="3511" w:type="dxa"/>
          </w:tcPr>
          <w:p>
            <w:pPr>
              <w:pStyle w:val="TableParagraph"/>
              <w:ind w:left="55"/>
              <w:rPr>
                <w:sz w:val="20"/>
              </w:rPr>
            </w:pPr>
            <w:r>
              <w:rPr>
                <w:color w:val="666666"/>
                <w:sz w:val="20"/>
              </w:rPr>
              <w:t>RWB – Return from Short Work Break</w:t>
            </w:r>
          </w:p>
        </w:tc>
        <w:tc>
          <w:tcPr>
            <w:tcW w:w="8095" w:type="dxa"/>
          </w:tcPr>
          <w:p>
            <w:pPr>
              <w:pStyle w:val="TableParagraph"/>
              <w:ind w:left="0" w:right="3409"/>
              <w:jc w:val="right"/>
              <w:rPr>
                <w:sz w:val="20"/>
              </w:rPr>
            </w:pPr>
            <w:r>
              <w:rPr>
                <w:color w:val="666666"/>
                <w:sz w:val="20"/>
              </w:rPr>
              <w:t>Used to return an employee from Short Work Break.</w:t>
            </w:r>
          </w:p>
        </w:tc>
      </w:tr>
    </w:tbl>
    <w:sectPr>
      <w:pgSz w:w="15840" w:h="12240" w:orient="landscape"/>
      <w:pgMar w:header="316" w:footer="353" w:top="1600" w:bottom="540" w:left="26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type id="_x0000_t202" o:spt="202" coordsize="21600,21600" path="m,l,21600r21600,l21600,xe">
          <v:stroke joinstyle="miter"/>
          <v:path gradientshapeok="t" o:connecttype="rect"/>
        </v:shapetype>
        <v:shape style="position:absolute;margin-left:17pt;margin-top:579.332520pt;width:183.6pt;height:12.1pt;mso-position-horizontal-relative:page;mso-position-vertical-relative:page;z-index:-25168" type="#_x0000_t202" filled="false" stroked="false">
          <v:textbox inset="0,0,0,0">
            <w:txbxContent>
              <w:p>
                <w:pPr>
                  <w:pStyle w:val="BodyText"/>
                  <w:ind w:left="20"/>
                </w:pPr>
                <w:r>
                  <w:rPr>
                    <w:color w:val="666666"/>
                  </w:rPr>
                  <w:t>UCPATH.UNIVERSITYOFCALIFORNIA.EDU</w:t>
                </w:r>
              </w:p>
            </w:txbxContent>
          </v:textbox>
          <w10:wrap type="none"/>
        </v:shape>
      </w:pict>
    </w:r>
    <w:r>
      <w:rPr/>
      <w:pict>
        <v:shape style="position:absolute;margin-left:345.203003pt;margin-top:579.332520pt;width:101.75pt;height:12.1pt;mso-position-horizontal-relative:page;mso-position-vertical-relative:page;z-index:-25144" type="#_x0000_t202" filled="false" stroked="false">
          <v:textbox inset="0,0,0,0">
            <w:txbxContent>
              <w:p>
                <w:pPr>
                  <w:pStyle w:val="BodyText"/>
                  <w:ind w:left="20"/>
                </w:pPr>
                <w:r>
                  <w:rPr>
                    <w:color w:val="666666"/>
                  </w:rPr>
                  <w:t>Last updated 11/26/2018</w:t>
                </w:r>
              </w:p>
            </w:txbxContent>
          </v:textbox>
          <w10:wrap type="none"/>
        </v:shape>
      </w:pict>
    </w:r>
    <w:r>
      <w:rPr/>
      <w:pict>
        <v:shape style="position:absolute;margin-left:726.929016pt;margin-top:579.332520pt;width:48.2pt;height:12.1pt;mso-position-horizontal-relative:page;mso-position-vertical-relative:page;z-index:-25120" type="#_x0000_t202" filled="false" stroked="false">
          <v:textbox inset="0,0,0,0">
            <w:txbxContent>
              <w:p>
                <w:pPr>
                  <w:pStyle w:val="BodyText"/>
                  <w:ind w:left="20"/>
                </w:pPr>
                <w:r>
                  <w:rPr>
                    <w:color w:val="666666"/>
                  </w:rPr>
                  <w:t>Page 1 of 6</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line style="position:absolute;mso-position-horizontal-relative:page;mso-position-vertical-relative:page;z-index:-25096" from="16.559999pt,576.840027pt" to="775.439999pt,576.840027pt" stroked="true" strokeweight=".48pt" strokecolor="#00778b">
          <v:stroke dashstyle="solid"/>
          <w10:wrap type="none"/>
        </v:line>
      </w:pict>
    </w:r>
    <w:r>
      <w:rPr/>
      <w:pict>
        <v:shape style="position:absolute;margin-left:17pt;margin-top:579.332520pt;width:183.6pt;height:12.1pt;mso-position-horizontal-relative:page;mso-position-vertical-relative:page;z-index:-25072" type="#_x0000_t202" filled="false" stroked="false">
          <v:textbox inset="0,0,0,0">
            <w:txbxContent>
              <w:p>
                <w:pPr>
                  <w:pStyle w:val="BodyText"/>
                  <w:ind w:left="20"/>
                </w:pPr>
                <w:r>
                  <w:rPr>
                    <w:color w:val="666666"/>
                  </w:rPr>
                  <w:t>UCPATH.UNIVERSITYOFCALIFORNIA.EDU</w:t>
                </w:r>
              </w:p>
            </w:txbxContent>
          </v:textbox>
          <w10:wrap type="none"/>
        </v:shape>
      </w:pict>
    </w:r>
    <w:r>
      <w:rPr/>
      <w:pict>
        <v:shape style="position:absolute;margin-left:345.203003pt;margin-top:579.332520pt;width:101.75pt;height:12.1pt;mso-position-horizontal-relative:page;mso-position-vertical-relative:page;z-index:-25048" type="#_x0000_t202" filled="false" stroked="false">
          <v:textbox inset="0,0,0,0">
            <w:txbxContent>
              <w:p>
                <w:pPr>
                  <w:pStyle w:val="BodyText"/>
                  <w:ind w:left="20"/>
                </w:pPr>
                <w:r>
                  <w:rPr>
                    <w:color w:val="666666"/>
                  </w:rPr>
                  <w:t>Last updated 11/26/2018</w:t>
                </w:r>
              </w:p>
            </w:txbxContent>
          </v:textbox>
          <w10:wrap type="none"/>
        </v:shape>
      </w:pict>
    </w:r>
    <w:r>
      <w:rPr/>
      <w:pict>
        <v:shape style="position:absolute;margin-left:726.929016pt;margin-top:579.332520pt;width:48.2pt;height:12.1pt;mso-position-horizontal-relative:page;mso-position-vertical-relative:page;z-index:-25024" type="#_x0000_t202" filled="false" stroked="false">
          <v:textbox inset="0,0,0,0">
            <w:txbxContent>
              <w:p>
                <w:pPr>
                  <w:pStyle w:val="BodyText"/>
                  <w:ind w:left="20"/>
                </w:pPr>
                <w:r>
                  <w:rPr>
                    <w:color w:val="666666"/>
                  </w:rPr>
                  <w:t>Page </w:t>
                </w:r>
                <w:r>
                  <w:rPr/>
                  <w:fldChar w:fldCharType="begin"/>
                </w:r>
                <w:r>
                  <w:rPr>
                    <w:color w:val="666666"/>
                  </w:rPr>
                  <w:instrText> PAGE </w:instrText>
                </w:r>
                <w:r>
                  <w:rPr/>
                  <w:fldChar w:fldCharType="separate"/>
                </w:r>
                <w:r>
                  <w:rPr/>
                  <w:t>2</w:t>
                </w:r>
                <w:r>
                  <w:rPr/>
                  <w:fldChar w:fldCharType="end"/>
                </w:r>
                <w:r>
                  <w:rPr>
                    <w:color w:val="666666"/>
                  </w:rPr>
                  <w:t> of 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drawing>
        <wp:anchor distT="0" distB="0" distL="0" distR="0" allowOverlap="1" layoutInCell="1" locked="0" behindDoc="1" simplePos="0" relativeHeight="268410263">
          <wp:simplePos x="0" y="0"/>
          <wp:positionH relativeFrom="page">
            <wp:posOffset>228600</wp:posOffset>
          </wp:positionH>
          <wp:positionV relativeFrom="page">
            <wp:posOffset>200648</wp:posOffset>
          </wp:positionV>
          <wp:extent cx="9594138" cy="825498"/>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9594138" cy="825498"/>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14"/>
    </w:pPr>
    <w:rPr>
      <w:rFonts w:ascii="Arial" w:hAnsi="Arial" w:eastAsia="Arial" w:cs="Arial"/>
      <w:sz w:val="18"/>
      <w:szCs w:val="1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spacing w:before="57"/>
      <w:ind w:left="57"/>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footer" Target="footer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B083BF9FF644EB6925F3F8AA77806" ma:contentTypeVersion="0" ma:contentTypeDescription="Create a new document." ma:contentTypeScope="" ma:versionID="a914d227bd1516d8cf6316d3aab9e1f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6AED3C-54A6-4BC4-BE3F-AF500649D851}"/>
</file>

<file path=customXml/itemProps2.xml><?xml version="1.0" encoding="utf-8"?>
<ds:datastoreItem xmlns:ds="http://schemas.openxmlformats.org/officeDocument/2006/customXml" ds:itemID="{188069C3-10A5-4EB3-842C-1D159C8972FE}"/>
</file>

<file path=customXml/itemProps3.xml><?xml version="1.0" encoding="utf-8"?>
<ds:datastoreItem xmlns:ds="http://schemas.openxmlformats.org/officeDocument/2006/customXml" ds:itemID="{4C866043-6C5A-4E23-A678-E9C3D72F7CBC}"/>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PayPath Transactions - Action Reason Codes and Descriptions (Academic)</dc:title>
  <dc:creator>Dana Allen</dc:creator>
  <dcterms:created xsi:type="dcterms:W3CDTF">2019-03-15T19:49:47Z</dcterms:created>
  <dcterms:modified xsi:type="dcterms:W3CDTF">2019-03-15T19:49:47Z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2018-11-26T00:00:00Z</vt:filetime>
  </property>
  <property fmtid="{D5CDD505-2E9C-101B-9397-08002B2CF9AE}" pid="3" name="Creator">
    <vt:lpwstr>Acrobat PDFMaker 11 for Word</vt:lpwstr>
  </property>
  <property fmtid="{D5CDD505-2E9C-101B-9397-08002B2CF9AE}" pid="4" name="LastSaved">
    <vt:filetime>2019-03-15T00:00:00Z</vt:filetime>
  </property>
  <property fmtid="{D5CDD505-2E9C-101B-9397-08002B2CF9AE}" pid="5" name="ContentTypeId">
    <vt:lpwstr>0x010100CDBB083BF9FF644EB6925F3F8AA77806</vt:lpwstr>
  </property>
</Properties>
</file>