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1"/>
        </w:rPr>
      </w:pPr>
    </w:p>
    <w:p>
      <w:pPr>
        <w:spacing w:before="96"/>
        <w:ind w:left="863" w:right="0" w:firstLine="0"/>
        <w:jc w:val="left"/>
        <w:rPr>
          <w:b/>
          <w:sz w:val="31"/>
        </w:rPr>
      </w:pPr>
      <w:r>
        <w:rPr>
          <w:b/>
          <w:color w:val="666666"/>
          <w:sz w:val="31"/>
        </w:rPr>
        <w:t>Job Aid: PayPath Transactions – Action Codes, Reason Codes and Descriptions (Staff)</w:t>
      </w:r>
    </w:p>
    <w:p>
      <w:pPr>
        <w:pStyle w:val="BodyText"/>
        <w:spacing w:before="0" w:after="1"/>
        <w:rPr>
          <w:b/>
          <w:sz w:val="13"/>
        </w:rPr>
      </w:pPr>
    </w:p>
    <w:tbl>
      <w:tblPr>
        <w:tblW w:w="0" w:type="auto"/>
        <w:jc w:val="left"/>
        <w:tblInd w:w="119"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58"/>
        <w:gridCol w:w="3608"/>
        <w:gridCol w:w="8094"/>
      </w:tblGrid>
      <w:tr>
        <w:trPr>
          <w:trHeight w:val="462" w:hRule="atLeast"/>
        </w:trPr>
        <w:tc>
          <w:tcPr>
            <w:tcW w:w="1505" w:type="dxa"/>
            <w:tcBorders>
              <w:top w:val="nil"/>
              <w:left w:val="nil"/>
              <w:bottom w:val="nil"/>
              <w:right w:val="nil"/>
            </w:tcBorders>
            <w:shd w:val="clear" w:color="auto" w:fill="00778B"/>
          </w:tcPr>
          <w:p>
            <w:pPr>
              <w:pStyle w:val="TableParagraph"/>
              <w:spacing w:before="107"/>
              <w:ind w:left="498" w:right="487"/>
              <w:jc w:val="center"/>
              <w:rPr>
                <w:b/>
                <w:sz w:val="20"/>
              </w:rPr>
            </w:pPr>
            <w:r>
              <w:rPr>
                <w:b/>
                <w:color w:val="FFFFFF"/>
                <w:sz w:val="20"/>
              </w:rPr>
              <w:t>Page</w:t>
            </w:r>
          </w:p>
        </w:tc>
        <w:tc>
          <w:tcPr>
            <w:tcW w:w="1858" w:type="dxa"/>
            <w:tcBorders>
              <w:top w:val="nil"/>
              <w:left w:val="nil"/>
              <w:bottom w:val="nil"/>
              <w:right w:val="nil"/>
            </w:tcBorders>
            <w:shd w:val="clear" w:color="auto" w:fill="00778B"/>
          </w:tcPr>
          <w:p>
            <w:pPr>
              <w:pStyle w:val="TableParagraph"/>
              <w:spacing w:before="107"/>
              <w:ind w:left="626"/>
              <w:rPr>
                <w:b/>
                <w:sz w:val="20"/>
              </w:rPr>
            </w:pPr>
            <w:r>
              <w:rPr>
                <w:b/>
                <w:color w:val="FFFFFF"/>
                <w:sz w:val="20"/>
              </w:rPr>
              <w:t>Action</w:t>
            </w:r>
          </w:p>
        </w:tc>
        <w:tc>
          <w:tcPr>
            <w:tcW w:w="3608" w:type="dxa"/>
            <w:tcBorders>
              <w:top w:val="nil"/>
              <w:left w:val="nil"/>
              <w:bottom w:val="nil"/>
              <w:right w:val="nil"/>
            </w:tcBorders>
            <w:shd w:val="clear" w:color="auto" w:fill="00778B"/>
          </w:tcPr>
          <w:p>
            <w:pPr>
              <w:pStyle w:val="TableParagraph"/>
              <w:spacing w:before="107"/>
              <w:ind w:left="1429" w:right="1416"/>
              <w:jc w:val="center"/>
              <w:rPr>
                <w:b/>
                <w:sz w:val="20"/>
              </w:rPr>
            </w:pPr>
            <w:r>
              <w:rPr>
                <w:b/>
                <w:color w:val="FFFFFF"/>
                <w:sz w:val="20"/>
              </w:rPr>
              <w:t>Reason</w:t>
            </w:r>
          </w:p>
        </w:tc>
        <w:tc>
          <w:tcPr>
            <w:tcW w:w="8094" w:type="dxa"/>
            <w:tcBorders>
              <w:top w:val="nil"/>
              <w:left w:val="nil"/>
              <w:bottom w:val="nil"/>
              <w:right w:val="nil"/>
            </w:tcBorders>
            <w:shd w:val="clear" w:color="auto" w:fill="00778B"/>
          </w:tcPr>
          <w:p>
            <w:pPr>
              <w:pStyle w:val="TableParagraph"/>
              <w:spacing w:before="107"/>
              <w:ind w:left="3481" w:right="3471"/>
              <w:jc w:val="center"/>
              <w:rPr>
                <w:b/>
                <w:sz w:val="20"/>
              </w:rPr>
            </w:pPr>
            <w:r>
              <w:rPr>
                <w:b/>
                <w:color w:val="FFFFFF"/>
                <w:sz w:val="20"/>
              </w:rPr>
              <w:t>Description</w:t>
            </w:r>
          </w:p>
        </w:tc>
      </w:tr>
      <w:tr>
        <w:trPr>
          <w:trHeight w:val="353" w:hRule="atLeast"/>
        </w:trPr>
        <w:tc>
          <w:tcPr>
            <w:tcW w:w="1505" w:type="dxa"/>
            <w:vMerge w:val="restart"/>
          </w:tcPr>
          <w:p>
            <w:pPr>
              <w:pStyle w:val="TableParagraph"/>
              <w:spacing w:before="66"/>
              <w:ind w:left="59"/>
              <w:rPr>
                <w:b/>
                <w:sz w:val="20"/>
              </w:rPr>
            </w:pPr>
            <w:r>
              <w:rPr>
                <w:b/>
                <w:color w:val="666666"/>
                <w:sz w:val="20"/>
              </w:rPr>
              <w:t>Position Data</w:t>
            </w:r>
          </w:p>
        </w:tc>
        <w:tc>
          <w:tcPr>
            <w:tcW w:w="1858" w:type="dxa"/>
            <w:vMerge w:val="restart"/>
          </w:tcPr>
          <w:p>
            <w:pPr>
              <w:pStyle w:val="TableParagraph"/>
              <w:spacing w:before="66"/>
              <w:ind w:left="59" w:right="412"/>
              <w:rPr>
                <w:sz w:val="20"/>
              </w:rPr>
            </w:pPr>
            <w:r>
              <w:rPr>
                <w:color w:val="666666"/>
                <w:sz w:val="20"/>
              </w:rPr>
              <w:t>POS – Position Change</w:t>
            </w:r>
          </w:p>
        </w:tc>
        <w:tc>
          <w:tcPr>
            <w:tcW w:w="3608" w:type="dxa"/>
          </w:tcPr>
          <w:p>
            <w:pPr>
              <w:pStyle w:val="TableParagraph"/>
              <w:spacing w:before="74"/>
              <w:ind w:left="59"/>
              <w:rPr>
                <w:sz w:val="20"/>
              </w:rPr>
            </w:pPr>
            <w:r>
              <w:rPr>
                <w:color w:val="666666"/>
                <w:sz w:val="20"/>
              </w:rPr>
              <w:t>COR – Position Data Correction</w:t>
            </w:r>
          </w:p>
        </w:tc>
        <w:tc>
          <w:tcPr>
            <w:tcW w:w="8094" w:type="dxa"/>
          </w:tcPr>
          <w:p>
            <w:pPr>
              <w:pStyle w:val="TableParagraph"/>
              <w:spacing w:before="74"/>
              <w:rPr>
                <w:sz w:val="20"/>
              </w:rPr>
            </w:pPr>
            <w:r>
              <w:rPr>
                <w:color w:val="666666"/>
                <w:sz w:val="20"/>
              </w:rPr>
              <w:t>Used to update Position Attributes due to data corrections.</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ERC – Update Employee Relations Code</w:t>
            </w:r>
          </w:p>
        </w:tc>
        <w:tc>
          <w:tcPr>
            <w:tcW w:w="8094" w:type="dxa"/>
          </w:tcPr>
          <w:p>
            <w:pPr>
              <w:pStyle w:val="TableParagraph"/>
              <w:spacing w:before="70"/>
              <w:rPr>
                <w:sz w:val="20"/>
              </w:rPr>
            </w:pPr>
            <w:r>
              <w:rPr>
                <w:color w:val="666666"/>
                <w:sz w:val="20"/>
              </w:rPr>
              <w:t>Used to update Employee Relations Code.</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FL2 – FLSA Update- Does Not Meet</w:t>
            </w:r>
          </w:p>
        </w:tc>
        <w:tc>
          <w:tcPr>
            <w:tcW w:w="8094" w:type="dxa"/>
          </w:tcPr>
          <w:p>
            <w:pPr>
              <w:pStyle w:val="TableParagraph"/>
              <w:ind w:right="223"/>
              <w:rPr>
                <w:sz w:val="20"/>
              </w:rPr>
            </w:pPr>
            <w:r>
              <w:rPr>
                <w:color w:val="666666"/>
                <w:sz w:val="20"/>
              </w:rPr>
              <w:t>Used when the employee does not meet the salary basis test and the FLSA needs to be overridden.</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FL3 – FLSA Revert</w:t>
            </w:r>
          </w:p>
        </w:tc>
        <w:tc>
          <w:tcPr>
            <w:tcW w:w="8094" w:type="dxa"/>
          </w:tcPr>
          <w:p>
            <w:pPr>
              <w:pStyle w:val="TableParagraph"/>
              <w:spacing w:line="247" w:lineRule="auto" w:before="55"/>
              <w:ind w:right="130"/>
              <w:rPr>
                <w:sz w:val="20"/>
              </w:rPr>
            </w:pPr>
            <w:r>
              <w:rPr>
                <w:color w:val="666666"/>
                <w:sz w:val="20"/>
              </w:rPr>
              <w:t>Used to revert the FLSA status back to default when an employee's additional/concurrent job or duel employment ends.</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FLS – FLSA Override Due to Review</w:t>
            </w:r>
          </w:p>
        </w:tc>
        <w:tc>
          <w:tcPr>
            <w:tcW w:w="8094" w:type="dxa"/>
          </w:tcPr>
          <w:p>
            <w:pPr>
              <w:pStyle w:val="TableParagraph"/>
              <w:rPr>
                <w:sz w:val="20"/>
              </w:rPr>
            </w:pPr>
            <w:r>
              <w:rPr>
                <w:color w:val="666666"/>
                <w:sz w:val="20"/>
              </w:rPr>
              <w:t>Used to update the FLSA status when an employee receives an additional/concurrent job.</w:t>
            </w:r>
          </w:p>
        </w:tc>
      </w:tr>
      <w:tr>
        <w:trPr>
          <w:trHeight w:val="1041"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FTE – Revert to Position FTE</w:t>
            </w:r>
          </w:p>
        </w:tc>
        <w:tc>
          <w:tcPr>
            <w:tcW w:w="8094" w:type="dxa"/>
          </w:tcPr>
          <w:p>
            <w:pPr>
              <w:pStyle w:val="TableParagraph"/>
              <w:spacing w:line="242" w:lineRule="auto" w:before="55"/>
              <w:ind w:right="212"/>
              <w:rPr>
                <w:sz w:val="20"/>
              </w:rPr>
            </w:pPr>
            <w:r>
              <w:rPr>
                <w:color w:val="666666"/>
                <w:sz w:val="20"/>
              </w:rPr>
              <w:t>Used when user wants to reconnect the Position Data FTE with Job Data FTE (if it is currently disconnected) in order for the Position FTE to ‘control’ the Job Data FTE. The Include FTE check box becomes editable, and user should check this box to ensure that the two are connected.</w:t>
            </w:r>
          </w:p>
        </w:tc>
      </w:tr>
      <w:tr>
        <w:trPr>
          <w:trHeight w:val="1617"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JFT – Job Data FTE Override</w:t>
            </w:r>
          </w:p>
        </w:tc>
        <w:tc>
          <w:tcPr>
            <w:tcW w:w="8094" w:type="dxa"/>
          </w:tcPr>
          <w:p>
            <w:pPr>
              <w:pStyle w:val="TableParagraph"/>
              <w:spacing w:before="55"/>
              <w:ind w:right="202"/>
              <w:rPr>
                <w:sz w:val="20"/>
              </w:rPr>
            </w:pPr>
            <w:r>
              <w:rPr>
                <w:color w:val="666666"/>
                <w:sz w:val="20"/>
              </w:rPr>
              <w:t>Used to allow the Job record to override the FTE defaulted from the Position. This would mean that the Position FTE and Job FTE will not be the same. The Include FTE check box becomes editable, and user should ‘uncheck’ this checkbox to disconnect the two.</w:t>
            </w:r>
          </w:p>
          <w:p>
            <w:pPr>
              <w:pStyle w:val="TableParagraph"/>
              <w:spacing w:before="67"/>
              <w:rPr>
                <w:sz w:val="20"/>
              </w:rPr>
            </w:pPr>
            <w:r>
              <w:rPr>
                <w:color w:val="666666"/>
                <w:sz w:val="20"/>
              </w:rPr>
              <w:t>Example:</w:t>
            </w:r>
          </w:p>
          <w:p>
            <w:pPr>
              <w:pStyle w:val="TableParagraph"/>
              <w:spacing w:before="58"/>
              <w:rPr>
                <w:sz w:val="20"/>
              </w:rPr>
            </w:pPr>
            <w:r>
              <w:rPr>
                <w:color w:val="666666"/>
                <w:sz w:val="20"/>
              </w:rPr>
              <w:t>- Used for employees who have a temporary change in FTE (for example, where Position FTE may remain ‘as is’, however Job Data FTE is reduced).</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right="1019"/>
              <w:rPr>
                <w:sz w:val="20"/>
              </w:rPr>
            </w:pPr>
            <w:r>
              <w:rPr>
                <w:color w:val="666666"/>
                <w:sz w:val="20"/>
              </w:rPr>
              <w:t>JRD – Job Reclassification - Downward</w:t>
            </w:r>
          </w:p>
        </w:tc>
        <w:tc>
          <w:tcPr>
            <w:tcW w:w="8094" w:type="dxa"/>
          </w:tcPr>
          <w:p>
            <w:pPr>
              <w:pStyle w:val="TableParagraph"/>
              <w:ind w:right="913"/>
              <w:rPr>
                <w:sz w:val="20"/>
              </w:rPr>
            </w:pPr>
            <w:r>
              <w:rPr>
                <w:color w:val="666666"/>
                <w:sz w:val="20"/>
              </w:rPr>
              <w:t>A change to the current position where the position is given a lower salary range maximum, upon completion of a classification review.</w:t>
            </w:r>
          </w:p>
        </w:tc>
      </w:tr>
      <w:tr>
        <w:trPr>
          <w:trHeight w:val="81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JRL – Job Reclassification - Lateral</w:t>
            </w:r>
          </w:p>
        </w:tc>
        <w:tc>
          <w:tcPr>
            <w:tcW w:w="8094" w:type="dxa"/>
          </w:tcPr>
          <w:p>
            <w:pPr>
              <w:pStyle w:val="TableParagraph"/>
              <w:ind w:right="446"/>
              <w:rPr>
                <w:sz w:val="20"/>
              </w:rPr>
            </w:pPr>
            <w:r>
              <w:rPr>
                <w:color w:val="666666"/>
                <w:sz w:val="20"/>
              </w:rPr>
              <w:t>A change to the current position where the position is reclassified and given the same salary range maximum in a different Job Code or Employee Relation Code upon the completion of a classification review.</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JRU – Job Reclassification - Upward</w:t>
            </w:r>
          </w:p>
        </w:tc>
        <w:tc>
          <w:tcPr>
            <w:tcW w:w="8094" w:type="dxa"/>
          </w:tcPr>
          <w:p>
            <w:pPr>
              <w:pStyle w:val="TableParagraph"/>
              <w:spacing w:line="247" w:lineRule="auto" w:before="55"/>
              <w:ind w:right="835"/>
              <w:rPr>
                <w:sz w:val="20"/>
              </w:rPr>
            </w:pPr>
            <w:r>
              <w:rPr>
                <w:color w:val="666666"/>
                <w:sz w:val="20"/>
              </w:rPr>
              <w:t>A change to the current position where the position is given a higher salary range maximum, upon completion of a classification review.</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JSH – Job Sharing</w:t>
            </w:r>
          </w:p>
        </w:tc>
        <w:tc>
          <w:tcPr>
            <w:tcW w:w="8094" w:type="dxa"/>
          </w:tcPr>
          <w:p>
            <w:pPr>
              <w:pStyle w:val="TableParagraph"/>
              <w:rPr>
                <w:sz w:val="20"/>
              </w:rPr>
            </w:pPr>
            <w:r>
              <w:rPr>
                <w:color w:val="666666"/>
                <w:sz w:val="20"/>
              </w:rPr>
              <w:t>Used when more than one person will fill a position temporarily.</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line="247" w:lineRule="auto" w:before="56"/>
              <w:ind w:right="463"/>
              <w:rPr>
                <w:sz w:val="20"/>
              </w:rPr>
            </w:pPr>
            <w:r>
              <w:rPr>
                <w:color w:val="666666"/>
                <w:sz w:val="20"/>
              </w:rPr>
              <w:t>PIT – Permanent Increase In Time (FTE)</w:t>
            </w:r>
          </w:p>
        </w:tc>
        <w:tc>
          <w:tcPr>
            <w:tcW w:w="8094" w:type="dxa"/>
          </w:tcPr>
          <w:p>
            <w:pPr>
              <w:pStyle w:val="TableParagraph"/>
              <w:spacing w:line="247" w:lineRule="auto" w:before="56"/>
              <w:ind w:right="235"/>
              <w:rPr>
                <w:sz w:val="20"/>
              </w:rPr>
            </w:pPr>
            <w:r>
              <w:rPr>
                <w:color w:val="666666"/>
                <w:sz w:val="20"/>
              </w:rPr>
              <w:t>Permanent increase in percent time (Position FTE). The employee could have a change in JOB.FTE as well.</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PRO – Promotion</w:t>
            </w:r>
          </w:p>
        </w:tc>
        <w:tc>
          <w:tcPr>
            <w:tcW w:w="8094" w:type="dxa"/>
          </w:tcPr>
          <w:p>
            <w:pPr>
              <w:pStyle w:val="TableParagraph"/>
              <w:rPr>
                <w:sz w:val="20"/>
              </w:rPr>
            </w:pPr>
            <w:r>
              <w:rPr>
                <w:color w:val="666666"/>
                <w:sz w:val="20"/>
              </w:rPr>
              <w:t>Used to advance a position from grade to grade. This will require a change in job code.</w:t>
            </w:r>
          </w:p>
        </w:tc>
      </w:tr>
    </w:tbl>
    <w:p>
      <w:pPr>
        <w:pStyle w:val="BodyText"/>
        <w:spacing w:before="11"/>
        <w:rPr>
          <w:b/>
          <w:sz w:val="15"/>
        </w:rPr>
      </w:pPr>
      <w:r>
        <w:rPr/>
        <w:pict>
          <v:line style="position:absolute;mso-position-horizontal-relative:page;mso-position-vertical-relative:paragraph;z-index:-1024;mso-wrap-distance-left:0;mso-wrap-distance-right:0" from="16.559999pt,11.34pt" to="775.439999pt,11.34pt" stroked="true" strokeweight=".36pt" strokecolor="#00778b">
            <v:stroke dashstyle="solid"/>
            <w10:wrap type="topAndBottom"/>
          </v:line>
        </w:pict>
      </w:r>
    </w:p>
    <w:p>
      <w:pPr>
        <w:spacing w:after="0"/>
        <w:rPr>
          <w:sz w:val="15"/>
        </w:rPr>
        <w:sectPr>
          <w:headerReference w:type="default" r:id="rId5"/>
          <w:footerReference w:type="default" r:id="rId6"/>
          <w:type w:val="continuous"/>
          <w:pgSz w:w="15840" w:h="12240" w:orient="landscape"/>
          <w:pgMar w:header="316" w:footer="351" w:top="1600" w:bottom="540" w:left="260" w:right="280"/>
        </w:sectPr>
      </w:pPr>
    </w:p>
    <w:p>
      <w:pPr>
        <w:pStyle w:val="BodyText"/>
        <w:spacing w:before="11"/>
        <w:rPr>
          <w:rFonts w:ascii="Times New Roman"/>
          <w:sz w:val="10"/>
        </w:rPr>
      </w:pPr>
    </w:p>
    <w:tbl>
      <w:tblPr>
        <w:tblW w:w="0" w:type="auto"/>
        <w:jc w:val="left"/>
        <w:tblInd w:w="119"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58"/>
        <w:gridCol w:w="3608"/>
        <w:gridCol w:w="8094"/>
      </w:tblGrid>
      <w:tr>
        <w:trPr>
          <w:trHeight w:val="470" w:hRule="atLeast"/>
        </w:trPr>
        <w:tc>
          <w:tcPr>
            <w:tcW w:w="1505" w:type="dxa"/>
            <w:tcBorders>
              <w:top w:val="nil"/>
              <w:left w:val="nil"/>
              <w:bottom w:val="nil"/>
              <w:right w:val="nil"/>
            </w:tcBorders>
            <w:shd w:val="clear" w:color="auto" w:fill="00778B"/>
          </w:tcPr>
          <w:p>
            <w:pPr>
              <w:pStyle w:val="TableParagraph"/>
              <w:spacing w:before="107"/>
              <w:ind w:left="498" w:right="487"/>
              <w:jc w:val="center"/>
              <w:rPr>
                <w:b/>
                <w:sz w:val="20"/>
              </w:rPr>
            </w:pPr>
            <w:r>
              <w:rPr>
                <w:b/>
                <w:color w:val="FFFFFF"/>
                <w:sz w:val="20"/>
              </w:rPr>
              <w:t>Page</w:t>
            </w:r>
          </w:p>
        </w:tc>
        <w:tc>
          <w:tcPr>
            <w:tcW w:w="1858" w:type="dxa"/>
            <w:tcBorders>
              <w:top w:val="nil"/>
              <w:left w:val="nil"/>
              <w:bottom w:val="nil"/>
              <w:right w:val="nil"/>
            </w:tcBorders>
            <w:shd w:val="clear" w:color="auto" w:fill="00778B"/>
          </w:tcPr>
          <w:p>
            <w:pPr>
              <w:pStyle w:val="TableParagraph"/>
              <w:spacing w:before="107"/>
              <w:ind w:left="626"/>
              <w:rPr>
                <w:b/>
                <w:sz w:val="20"/>
              </w:rPr>
            </w:pPr>
            <w:r>
              <w:rPr>
                <w:b/>
                <w:color w:val="FFFFFF"/>
                <w:sz w:val="20"/>
              </w:rPr>
              <w:t>Action</w:t>
            </w:r>
          </w:p>
        </w:tc>
        <w:tc>
          <w:tcPr>
            <w:tcW w:w="3608" w:type="dxa"/>
            <w:tcBorders>
              <w:top w:val="nil"/>
              <w:left w:val="nil"/>
              <w:bottom w:val="nil"/>
              <w:right w:val="nil"/>
            </w:tcBorders>
            <w:shd w:val="clear" w:color="auto" w:fill="00778B"/>
          </w:tcPr>
          <w:p>
            <w:pPr>
              <w:pStyle w:val="TableParagraph"/>
              <w:spacing w:before="107"/>
              <w:ind w:left="1429" w:right="1416"/>
              <w:jc w:val="center"/>
              <w:rPr>
                <w:b/>
                <w:sz w:val="20"/>
              </w:rPr>
            </w:pPr>
            <w:r>
              <w:rPr>
                <w:b/>
                <w:color w:val="FFFFFF"/>
                <w:sz w:val="20"/>
              </w:rPr>
              <w:t>Reason</w:t>
            </w:r>
          </w:p>
        </w:tc>
        <w:tc>
          <w:tcPr>
            <w:tcW w:w="8094" w:type="dxa"/>
            <w:tcBorders>
              <w:top w:val="nil"/>
              <w:left w:val="nil"/>
              <w:bottom w:val="nil"/>
              <w:right w:val="nil"/>
            </w:tcBorders>
            <w:shd w:val="clear" w:color="auto" w:fill="00778B"/>
          </w:tcPr>
          <w:p>
            <w:pPr>
              <w:pStyle w:val="TableParagraph"/>
              <w:spacing w:before="107"/>
              <w:ind w:left="3481" w:right="3471"/>
              <w:jc w:val="center"/>
              <w:rPr>
                <w:b/>
                <w:sz w:val="20"/>
              </w:rPr>
            </w:pPr>
            <w:r>
              <w:rPr>
                <w:b/>
                <w:color w:val="FFFFFF"/>
                <w:sz w:val="20"/>
              </w:rPr>
              <w:t>Description</w:t>
            </w:r>
          </w:p>
        </w:tc>
      </w:tr>
      <w:tr>
        <w:trPr>
          <w:trHeight w:val="583" w:hRule="atLeast"/>
        </w:trPr>
        <w:tc>
          <w:tcPr>
            <w:tcW w:w="1505" w:type="dxa"/>
            <w:vMerge w:val="restart"/>
          </w:tcPr>
          <w:p>
            <w:pPr>
              <w:pStyle w:val="TableParagraph"/>
              <w:spacing w:before="0"/>
              <w:ind w:left="0"/>
              <w:rPr>
                <w:rFonts w:ascii="Times New Roman"/>
                <w:sz w:val="20"/>
              </w:rPr>
            </w:pPr>
          </w:p>
        </w:tc>
        <w:tc>
          <w:tcPr>
            <w:tcW w:w="1858" w:type="dxa"/>
            <w:vMerge w:val="restart"/>
          </w:tcPr>
          <w:p>
            <w:pPr>
              <w:pStyle w:val="TableParagraph"/>
              <w:spacing w:before="0"/>
              <w:ind w:left="0"/>
              <w:rPr>
                <w:rFonts w:ascii="Times New Roman"/>
                <w:sz w:val="20"/>
              </w:rPr>
            </w:pPr>
          </w:p>
        </w:tc>
        <w:tc>
          <w:tcPr>
            <w:tcW w:w="3608" w:type="dxa"/>
          </w:tcPr>
          <w:p>
            <w:pPr>
              <w:pStyle w:val="TableParagraph"/>
              <w:spacing w:before="59"/>
              <w:ind w:left="59" w:right="239"/>
              <w:rPr>
                <w:sz w:val="20"/>
              </w:rPr>
            </w:pPr>
            <w:r>
              <w:rPr>
                <w:color w:val="666666"/>
                <w:sz w:val="20"/>
              </w:rPr>
              <w:t>PRT – Permanent Reduction In Time (FTE)</w:t>
            </w:r>
          </w:p>
        </w:tc>
        <w:tc>
          <w:tcPr>
            <w:tcW w:w="8094" w:type="dxa"/>
          </w:tcPr>
          <w:p>
            <w:pPr>
              <w:pStyle w:val="TableParagraph"/>
              <w:spacing w:before="59"/>
              <w:rPr>
                <w:sz w:val="20"/>
              </w:rPr>
            </w:pPr>
            <w:r>
              <w:rPr>
                <w:color w:val="666666"/>
                <w:sz w:val="20"/>
              </w:rPr>
              <w:t>Permanent reduction in percent time (Position FTE). This would change the employee's FTE on the Job.</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REO – Re-Organization/Restructure</w:t>
            </w:r>
          </w:p>
        </w:tc>
        <w:tc>
          <w:tcPr>
            <w:tcW w:w="8094" w:type="dxa"/>
          </w:tcPr>
          <w:p>
            <w:pPr>
              <w:pStyle w:val="TableParagraph"/>
              <w:rPr>
                <w:sz w:val="20"/>
              </w:rPr>
            </w:pPr>
            <w:r>
              <w:rPr>
                <w:color w:val="666666"/>
                <w:sz w:val="20"/>
              </w:rPr>
              <w:t>Position change due to reorganization and/or restructuring within the same Business Unit.</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RTC – Reports To Change</w:t>
            </w:r>
          </w:p>
        </w:tc>
        <w:tc>
          <w:tcPr>
            <w:tcW w:w="8094" w:type="dxa"/>
          </w:tcPr>
          <w:p>
            <w:pPr>
              <w:pStyle w:val="TableParagraph"/>
              <w:rPr>
                <w:sz w:val="20"/>
              </w:rPr>
            </w:pPr>
            <w:r>
              <w:rPr>
                <w:color w:val="666666"/>
                <w:sz w:val="20"/>
              </w:rPr>
              <w:t>A change to the reports-to position.</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TIT – Temporary Increase in Time</w:t>
            </w:r>
          </w:p>
        </w:tc>
        <w:tc>
          <w:tcPr>
            <w:tcW w:w="8094" w:type="dxa"/>
          </w:tcPr>
          <w:p>
            <w:pPr>
              <w:pStyle w:val="TableParagraph"/>
              <w:spacing w:before="55"/>
              <w:ind w:right="347"/>
              <w:rPr>
                <w:sz w:val="20"/>
              </w:rPr>
            </w:pPr>
            <w:r>
              <w:rPr>
                <w:color w:val="666666"/>
                <w:sz w:val="20"/>
              </w:rPr>
              <w:t>Temporary increase in percentage of effort for employees whose effort is normally less than 100% or full-time.</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TRT – Temporary Reduction in Time</w:t>
            </w:r>
          </w:p>
        </w:tc>
        <w:tc>
          <w:tcPr>
            <w:tcW w:w="8094" w:type="dxa"/>
          </w:tcPr>
          <w:p>
            <w:pPr>
              <w:pStyle w:val="TableParagraph"/>
              <w:spacing w:before="55"/>
              <w:ind w:right="102"/>
              <w:rPr>
                <w:sz w:val="20"/>
              </w:rPr>
            </w:pPr>
            <w:r>
              <w:rPr>
                <w:color w:val="666666"/>
                <w:sz w:val="20"/>
              </w:rPr>
              <w:t>Used to decrease the FTE field on the Position Data Page. For example, temporary decrease in percentage of effort for employees whose effort is normally 100% or full-time.</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Pr>
                <w:sz w:val="20"/>
              </w:rPr>
            </w:pPr>
            <w:r>
              <w:rPr>
                <w:color w:val="666666"/>
                <w:sz w:val="20"/>
              </w:rPr>
              <w:t>XFR – Transfer</w:t>
            </w:r>
          </w:p>
        </w:tc>
        <w:tc>
          <w:tcPr>
            <w:tcW w:w="8094" w:type="dxa"/>
          </w:tcPr>
          <w:p>
            <w:pPr>
              <w:pStyle w:val="TableParagraph"/>
              <w:spacing w:before="55"/>
              <w:ind w:right="124"/>
              <w:rPr>
                <w:sz w:val="20"/>
              </w:rPr>
            </w:pPr>
            <w:r>
              <w:rPr>
                <w:color w:val="666666"/>
                <w:sz w:val="20"/>
              </w:rPr>
              <w:t>Use when moving/transferring a position from one department to another within the same Business Unit.</w:t>
            </w:r>
          </w:p>
        </w:tc>
      </w:tr>
      <w:tr>
        <w:trPr>
          <w:trHeight w:val="573" w:hRule="atLeast"/>
        </w:trPr>
        <w:tc>
          <w:tcPr>
            <w:tcW w:w="1505" w:type="dxa"/>
            <w:vMerge w:val="restart"/>
          </w:tcPr>
          <w:p>
            <w:pPr>
              <w:pStyle w:val="TableParagraph"/>
              <w:spacing w:before="56"/>
              <w:ind w:left="59"/>
              <w:rPr>
                <w:b/>
                <w:sz w:val="20"/>
              </w:rPr>
            </w:pPr>
            <w:r>
              <w:rPr>
                <w:b/>
                <w:color w:val="666666"/>
                <w:sz w:val="20"/>
              </w:rPr>
              <w:t>Job Data</w:t>
            </w:r>
          </w:p>
        </w:tc>
        <w:tc>
          <w:tcPr>
            <w:tcW w:w="1858" w:type="dxa"/>
            <w:vMerge w:val="restart"/>
          </w:tcPr>
          <w:p>
            <w:pPr>
              <w:pStyle w:val="TableParagraph"/>
              <w:spacing w:before="56"/>
              <w:ind w:left="59" w:right="724"/>
              <w:rPr>
                <w:sz w:val="20"/>
              </w:rPr>
            </w:pPr>
            <w:r>
              <w:rPr>
                <w:color w:val="666666"/>
                <w:sz w:val="20"/>
              </w:rPr>
              <w:t>DTA – Data Change</w:t>
            </w:r>
          </w:p>
        </w:tc>
        <w:tc>
          <w:tcPr>
            <w:tcW w:w="3608" w:type="dxa"/>
          </w:tcPr>
          <w:p>
            <w:pPr>
              <w:pStyle w:val="TableParagraph"/>
              <w:ind w:left="59"/>
              <w:rPr>
                <w:sz w:val="20"/>
              </w:rPr>
            </w:pPr>
            <w:r>
              <w:rPr>
                <w:color w:val="666666"/>
                <w:sz w:val="20"/>
              </w:rPr>
              <w:t>CAR – Limited to Career</w:t>
            </w:r>
          </w:p>
        </w:tc>
        <w:tc>
          <w:tcPr>
            <w:tcW w:w="8094" w:type="dxa"/>
          </w:tcPr>
          <w:p>
            <w:pPr>
              <w:pStyle w:val="TableParagraph"/>
              <w:spacing w:before="56"/>
              <w:ind w:right="419"/>
              <w:rPr>
                <w:sz w:val="20"/>
              </w:rPr>
            </w:pPr>
            <w:r>
              <w:rPr>
                <w:color w:val="666666"/>
                <w:sz w:val="20"/>
              </w:rPr>
              <w:t>Used to update employee's Employee Class from Limited to Career due to 1,000 hour rule.</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COR – Correction-Non Pay Related</w:t>
            </w:r>
          </w:p>
        </w:tc>
        <w:tc>
          <w:tcPr>
            <w:tcW w:w="8094" w:type="dxa"/>
          </w:tcPr>
          <w:p>
            <w:pPr>
              <w:pStyle w:val="TableParagraph"/>
              <w:spacing w:before="70"/>
              <w:rPr>
                <w:sz w:val="20"/>
              </w:rPr>
            </w:pPr>
            <w:r>
              <w:rPr>
                <w:color w:val="666666"/>
                <w:sz w:val="20"/>
              </w:rPr>
              <w:t>Non pay related data change to correct erroneously entered information.</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CPR – Correction-Pay Rate</w:t>
            </w:r>
          </w:p>
        </w:tc>
        <w:tc>
          <w:tcPr>
            <w:tcW w:w="8094" w:type="dxa"/>
          </w:tcPr>
          <w:p>
            <w:pPr>
              <w:pStyle w:val="TableParagraph"/>
              <w:spacing w:before="70"/>
              <w:rPr>
                <w:sz w:val="20"/>
              </w:rPr>
            </w:pPr>
            <w:r>
              <w:rPr>
                <w:color w:val="666666"/>
                <w:sz w:val="20"/>
              </w:rPr>
              <w:t>Pay related data change to correct erroneously entered information.</w:t>
            </w:r>
          </w:p>
        </w:tc>
      </w:tr>
      <w:tr>
        <w:trPr>
          <w:trHeight w:val="81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CPT – Change in Percent Time (FTE)</w:t>
            </w:r>
          </w:p>
        </w:tc>
        <w:tc>
          <w:tcPr>
            <w:tcW w:w="8094" w:type="dxa"/>
          </w:tcPr>
          <w:p>
            <w:pPr>
              <w:pStyle w:val="TableParagraph"/>
              <w:ind w:right="323"/>
              <w:rPr>
                <w:sz w:val="20"/>
              </w:rPr>
            </w:pPr>
            <w:r>
              <w:rPr>
                <w:color w:val="666666"/>
                <w:sz w:val="20"/>
              </w:rPr>
              <w:t>Used to increase/decrease percent time (Job Data FTE) on an academic or staff appointment. Should only be used if Position Data FTE does not control Job Data FTE, otherwise Job Data FTE field is display only.</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ERI – Update ERIT End Date</w:t>
            </w:r>
          </w:p>
        </w:tc>
        <w:tc>
          <w:tcPr>
            <w:tcW w:w="8094" w:type="dxa"/>
          </w:tcPr>
          <w:p>
            <w:pPr>
              <w:pStyle w:val="TableParagraph"/>
              <w:spacing w:before="70"/>
              <w:rPr>
                <w:sz w:val="20"/>
              </w:rPr>
            </w:pPr>
            <w:r>
              <w:rPr>
                <w:color w:val="666666"/>
                <w:sz w:val="20"/>
              </w:rPr>
              <w:t>Used to update the ERIT End Date field on the UC Job Data page.</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EXP – Extend Expected Return Date</w:t>
            </w:r>
          </w:p>
        </w:tc>
        <w:tc>
          <w:tcPr>
            <w:tcW w:w="8094" w:type="dxa"/>
          </w:tcPr>
          <w:p>
            <w:pPr>
              <w:pStyle w:val="TableParagraph"/>
              <w:spacing w:before="70"/>
              <w:rPr>
                <w:sz w:val="20"/>
              </w:rPr>
            </w:pPr>
            <w:r>
              <w:rPr>
                <w:color w:val="666666"/>
                <w:sz w:val="20"/>
              </w:rPr>
              <w:t>Used to extend expected return date for employees on short work break.</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EXT – Add/Extend Appointment</w:t>
            </w:r>
          </w:p>
        </w:tc>
        <w:tc>
          <w:tcPr>
            <w:tcW w:w="8094" w:type="dxa"/>
          </w:tcPr>
          <w:p>
            <w:pPr>
              <w:pStyle w:val="TableParagraph"/>
              <w:spacing w:before="70"/>
              <w:rPr>
                <w:sz w:val="20"/>
              </w:rPr>
            </w:pPr>
            <w:r>
              <w:rPr>
                <w:color w:val="666666"/>
                <w:sz w:val="20"/>
              </w:rPr>
              <w:t>Used to add or extend temporary appointment.</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LUE – Update Location Use End Date</w:t>
            </w:r>
          </w:p>
        </w:tc>
        <w:tc>
          <w:tcPr>
            <w:tcW w:w="8094" w:type="dxa"/>
          </w:tcPr>
          <w:p>
            <w:pPr>
              <w:pStyle w:val="TableParagraph"/>
              <w:spacing w:before="70"/>
              <w:rPr>
                <w:sz w:val="20"/>
              </w:rPr>
            </w:pPr>
            <w:r>
              <w:rPr>
                <w:color w:val="666666"/>
                <w:sz w:val="20"/>
              </w:rPr>
              <w:t>Used to update the Location Use End Date field on the UC Job Data page.</w:t>
            </w:r>
          </w:p>
        </w:tc>
      </w:tr>
      <w:tr>
        <w:trPr>
          <w:trHeight w:val="81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left="59" w:right="50"/>
              <w:rPr>
                <w:sz w:val="20"/>
              </w:rPr>
            </w:pPr>
            <w:r>
              <w:rPr>
                <w:color w:val="666666"/>
                <w:sz w:val="20"/>
              </w:rPr>
              <w:t>PHR – Update Phased Retirement End Dt</w:t>
            </w:r>
          </w:p>
        </w:tc>
        <w:tc>
          <w:tcPr>
            <w:tcW w:w="8094" w:type="dxa"/>
          </w:tcPr>
          <w:p>
            <w:pPr>
              <w:pStyle w:val="TableParagraph"/>
              <w:ind w:right="72"/>
              <w:jc w:val="both"/>
              <w:rPr>
                <w:sz w:val="20"/>
              </w:rPr>
            </w:pPr>
            <w:r>
              <w:rPr>
                <w:color w:val="666666"/>
                <w:sz w:val="20"/>
              </w:rPr>
              <w:t>Used to transition into retirement by reducing their appointment percentages </w:t>
            </w:r>
            <w:r>
              <w:rPr>
                <w:color w:val="666666"/>
                <w:spacing w:val="-5"/>
                <w:sz w:val="20"/>
              </w:rPr>
              <w:t>over </w:t>
            </w:r>
            <w:r>
              <w:rPr>
                <w:color w:val="666666"/>
                <w:sz w:val="20"/>
              </w:rPr>
              <w:t>a </w:t>
            </w:r>
            <w:r>
              <w:rPr>
                <w:color w:val="666666"/>
                <w:spacing w:val="-3"/>
                <w:sz w:val="20"/>
              </w:rPr>
              <w:t>period of </w:t>
            </w:r>
            <w:r>
              <w:rPr>
                <w:color w:val="666666"/>
                <w:sz w:val="20"/>
              </w:rPr>
              <w:t>120 </w:t>
            </w:r>
            <w:r>
              <w:rPr>
                <w:color w:val="666666"/>
                <w:spacing w:val="-3"/>
                <w:sz w:val="20"/>
              </w:rPr>
              <w:t>days </w:t>
            </w:r>
            <w:r>
              <w:rPr>
                <w:color w:val="666666"/>
                <w:sz w:val="20"/>
              </w:rPr>
              <w:t>for up to 3 </w:t>
            </w:r>
            <w:r>
              <w:rPr>
                <w:color w:val="666666"/>
                <w:spacing w:val="-4"/>
                <w:sz w:val="20"/>
              </w:rPr>
              <w:t>years. </w:t>
            </w:r>
            <w:r>
              <w:rPr>
                <w:color w:val="666666"/>
                <w:sz w:val="20"/>
              </w:rPr>
              <w:t>This is only applicable to those that voluntarily participate in </w:t>
            </w:r>
            <w:r>
              <w:rPr>
                <w:color w:val="666666"/>
                <w:spacing w:val="-3"/>
                <w:sz w:val="20"/>
              </w:rPr>
              <w:t>an approved </w:t>
            </w:r>
            <w:r>
              <w:rPr>
                <w:color w:val="666666"/>
                <w:sz w:val="20"/>
              </w:rPr>
              <w:t>system-wide phased retirement program.</w:t>
            </w:r>
          </w:p>
        </w:tc>
      </w:tr>
      <w:tr>
        <w:trPr>
          <w:trHeight w:val="58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ind w:right="384"/>
              <w:rPr>
                <w:sz w:val="20"/>
              </w:rPr>
            </w:pPr>
            <w:r>
              <w:rPr>
                <w:color w:val="666666"/>
                <w:sz w:val="20"/>
              </w:rPr>
              <w:t>PRB – Update Probation Code/End Date</w:t>
            </w:r>
          </w:p>
        </w:tc>
        <w:tc>
          <w:tcPr>
            <w:tcW w:w="8094" w:type="dxa"/>
          </w:tcPr>
          <w:p>
            <w:pPr>
              <w:pStyle w:val="TableParagraph"/>
              <w:spacing w:before="70"/>
              <w:rPr>
                <w:sz w:val="20"/>
              </w:rPr>
            </w:pPr>
            <w:r>
              <w:rPr>
                <w:color w:val="666666"/>
                <w:sz w:val="20"/>
              </w:rPr>
              <w:t>Used to update probation code and its related information.</w:t>
            </w:r>
          </w:p>
        </w:tc>
      </w:tr>
      <w:tr>
        <w:trPr>
          <w:trHeight w:val="350"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TMF – Update Auto Termination Flag</w:t>
            </w:r>
          </w:p>
        </w:tc>
        <w:tc>
          <w:tcPr>
            <w:tcW w:w="8094" w:type="dxa"/>
          </w:tcPr>
          <w:p>
            <w:pPr>
              <w:pStyle w:val="TableParagraph"/>
              <w:spacing w:before="70"/>
              <w:rPr>
                <w:sz w:val="20"/>
              </w:rPr>
            </w:pPr>
            <w:r>
              <w:rPr>
                <w:color w:val="666666"/>
                <w:sz w:val="20"/>
              </w:rPr>
              <w:t>Used to update the auto termination flag.</w:t>
            </w:r>
          </w:p>
        </w:tc>
      </w:tr>
      <w:tr>
        <w:trPr>
          <w:trHeight w:val="357" w:hRule="atLeast"/>
        </w:trPr>
        <w:tc>
          <w:tcPr>
            <w:tcW w:w="1505" w:type="dxa"/>
            <w:vMerge/>
            <w:tcBorders>
              <w:top w:val="nil"/>
            </w:tcBorders>
          </w:tcPr>
          <w:p>
            <w:pPr>
              <w:rPr>
                <w:sz w:val="2"/>
                <w:szCs w:val="2"/>
              </w:rPr>
            </w:pPr>
          </w:p>
        </w:tc>
        <w:tc>
          <w:tcPr>
            <w:tcW w:w="1858" w:type="dxa"/>
            <w:vMerge/>
            <w:tcBorders>
              <w:top w:val="nil"/>
            </w:tcBorders>
          </w:tcPr>
          <w:p>
            <w:pPr>
              <w:rPr>
                <w:sz w:val="2"/>
                <w:szCs w:val="2"/>
              </w:rPr>
            </w:pPr>
          </w:p>
        </w:tc>
        <w:tc>
          <w:tcPr>
            <w:tcW w:w="3608" w:type="dxa"/>
          </w:tcPr>
          <w:p>
            <w:pPr>
              <w:pStyle w:val="TableParagraph"/>
              <w:spacing w:before="70"/>
              <w:ind w:left="59"/>
              <w:rPr>
                <w:sz w:val="20"/>
              </w:rPr>
            </w:pPr>
            <w:r>
              <w:rPr>
                <w:color w:val="666666"/>
                <w:sz w:val="20"/>
              </w:rPr>
              <w:t>TRL – Update Trial Employment Date</w:t>
            </w:r>
          </w:p>
        </w:tc>
        <w:tc>
          <w:tcPr>
            <w:tcW w:w="8094" w:type="dxa"/>
          </w:tcPr>
          <w:p>
            <w:pPr>
              <w:pStyle w:val="TableParagraph"/>
              <w:spacing w:before="70"/>
              <w:rPr>
                <w:sz w:val="20"/>
              </w:rPr>
            </w:pPr>
            <w:r>
              <w:rPr>
                <w:color w:val="666666"/>
                <w:sz w:val="20"/>
              </w:rPr>
              <w:t>Used to update an employee's Trial Employment Date.</w:t>
            </w:r>
          </w:p>
        </w:tc>
      </w:tr>
    </w:tbl>
    <w:p>
      <w:pPr>
        <w:spacing w:after="0"/>
        <w:rPr>
          <w:sz w:val="20"/>
        </w:rPr>
        <w:sectPr>
          <w:footerReference w:type="default" r:id="rId7"/>
          <w:pgSz w:w="15840" w:h="12240" w:orient="landscape"/>
          <w:pgMar w:footer="351" w:header="316" w:top="1600" w:bottom="540" w:left="260" w:right="280"/>
          <w:pgNumType w:start="2"/>
        </w:sectPr>
      </w:pPr>
    </w:p>
    <w:p>
      <w:pPr>
        <w:pStyle w:val="BodyText"/>
        <w:spacing w:before="11"/>
        <w:rPr>
          <w:rFonts w:ascii="Times New Roman"/>
          <w:sz w:val="10"/>
        </w:rPr>
      </w:pPr>
    </w:p>
    <w:tbl>
      <w:tblPr>
        <w:tblW w:w="0" w:type="auto"/>
        <w:jc w:val="left"/>
        <w:tblInd w:w="119"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7"/>
        <w:gridCol w:w="1860"/>
        <w:gridCol w:w="3604"/>
        <w:gridCol w:w="8093"/>
      </w:tblGrid>
      <w:tr>
        <w:trPr>
          <w:trHeight w:val="470" w:hRule="atLeast"/>
        </w:trPr>
        <w:tc>
          <w:tcPr>
            <w:tcW w:w="1507" w:type="dxa"/>
            <w:tcBorders>
              <w:top w:val="nil"/>
              <w:left w:val="nil"/>
              <w:bottom w:val="nil"/>
              <w:right w:val="nil"/>
            </w:tcBorders>
            <w:shd w:val="clear" w:color="auto" w:fill="00778B"/>
          </w:tcPr>
          <w:p>
            <w:pPr>
              <w:pStyle w:val="TableParagraph"/>
              <w:spacing w:before="107"/>
              <w:ind w:left="498" w:right="489"/>
              <w:jc w:val="center"/>
              <w:rPr>
                <w:b/>
                <w:sz w:val="20"/>
              </w:rPr>
            </w:pPr>
            <w:r>
              <w:rPr>
                <w:b/>
                <w:color w:val="FFFFFF"/>
                <w:sz w:val="20"/>
              </w:rPr>
              <w:t>Page</w:t>
            </w:r>
          </w:p>
        </w:tc>
        <w:tc>
          <w:tcPr>
            <w:tcW w:w="1860" w:type="dxa"/>
            <w:tcBorders>
              <w:top w:val="nil"/>
              <w:left w:val="nil"/>
              <w:bottom w:val="nil"/>
              <w:right w:val="nil"/>
            </w:tcBorders>
            <w:shd w:val="clear" w:color="auto" w:fill="00778B"/>
          </w:tcPr>
          <w:p>
            <w:pPr>
              <w:pStyle w:val="TableParagraph"/>
              <w:spacing w:before="107"/>
              <w:ind w:left="624"/>
              <w:rPr>
                <w:b/>
                <w:sz w:val="20"/>
              </w:rPr>
            </w:pPr>
            <w:r>
              <w:rPr>
                <w:b/>
                <w:color w:val="FFFFFF"/>
                <w:sz w:val="20"/>
              </w:rPr>
              <w:t>Action</w:t>
            </w:r>
          </w:p>
        </w:tc>
        <w:tc>
          <w:tcPr>
            <w:tcW w:w="3604" w:type="dxa"/>
            <w:tcBorders>
              <w:top w:val="nil"/>
              <w:left w:val="nil"/>
              <w:bottom w:val="nil"/>
              <w:right w:val="nil"/>
            </w:tcBorders>
            <w:shd w:val="clear" w:color="auto" w:fill="00778B"/>
          </w:tcPr>
          <w:p>
            <w:pPr>
              <w:pStyle w:val="TableParagraph"/>
              <w:spacing w:before="107"/>
              <w:ind w:left="1425" w:right="1416"/>
              <w:jc w:val="center"/>
              <w:rPr>
                <w:b/>
                <w:sz w:val="20"/>
              </w:rPr>
            </w:pPr>
            <w:r>
              <w:rPr>
                <w:b/>
                <w:color w:val="FFFFFF"/>
                <w:sz w:val="20"/>
              </w:rPr>
              <w:t>Reason</w:t>
            </w:r>
          </w:p>
        </w:tc>
        <w:tc>
          <w:tcPr>
            <w:tcW w:w="8093" w:type="dxa"/>
            <w:tcBorders>
              <w:top w:val="nil"/>
              <w:left w:val="nil"/>
              <w:bottom w:val="nil"/>
              <w:right w:val="nil"/>
            </w:tcBorders>
            <w:shd w:val="clear" w:color="auto" w:fill="00778B"/>
          </w:tcPr>
          <w:p>
            <w:pPr>
              <w:pStyle w:val="TableParagraph"/>
              <w:spacing w:before="107"/>
              <w:ind w:left="3481" w:right="3470"/>
              <w:jc w:val="center"/>
              <w:rPr>
                <w:b/>
                <w:sz w:val="20"/>
              </w:rPr>
            </w:pPr>
            <w:r>
              <w:rPr>
                <w:b/>
                <w:color w:val="FFFFFF"/>
                <w:sz w:val="20"/>
              </w:rPr>
              <w:t>Description</w:t>
            </w:r>
          </w:p>
        </w:tc>
      </w:tr>
      <w:tr>
        <w:trPr>
          <w:trHeight w:val="583" w:hRule="atLeast"/>
        </w:trPr>
        <w:tc>
          <w:tcPr>
            <w:tcW w:w="1507" w:type="dxa"/>
            <w:vMerge w:val="restart"/>
          </w:tcPr>
          <w:p>
            <w:pPr>
              <w:pStyle w:val="TableParagraph"/>
              <w:spacing w:before="0"/>
              <w:ind w:left="0"/>
              <w:rPr>
                <w:rFonts w:ascii="Times New Roman"/>
                <w:sz w:val="20"/>
              </w:rPr>
            </w:pPr>
          </w:p>
        </w:tc>
        <w:tc>
          <w:tcPr>
            <w:tcW w:w="1860" w:type="dxa"/>
            <w:vMerge w:val="restart"/>
          </w:tcPr>
          <w:p>
            <w:pPr>
              <w:pStyle w:val="TableParagraph"/>
              <w:spacing w:before="59"/>
              <w:ind w:left="57" w:right="384" w:hanging="1"/>
              <w:rPr>
                <w:sz w:val="20"/>
              </w:rPr>
            </w:pPr>
            <w:r>
              <w:rPr>
                <w:color w:val="666666"/>
                <w:sz w:val="20"/>
              </w:rPr>
              <w:t>JED – Earnings Distribution Change</w:t>
            </w:r>
          </w:p>
        </w:tc>
        <w:tc>
          <w:tcPr>
            <w:tcW w:w="3604" w:type="dxa"/>
          </w:tcPr>
          <w:p>
            <w:pPr>
              <w:pStyle w:val="TableParagraph"/>
              <w:spacing w:before="66"/>
              <w:ind w:left="55"/>
              <w:rPr>
                <w:sz w:val="20"/>
              </w:rPr>
            </w:pPr>
            <w:r>
              <w:rPr>
                <w:color w:val="666666"/>
                <w:sz w:val="20"/>
              </w:rPr>
              <w:t>ERT – ERIT-EE Reduction in Time</w:t>
            </w:r>
          </w:p>
        </w:tc>
        <w:tc>
          <w:tcPr>
            <w:tcW w:w="8093" w:type="dxa"/>
          </w:tcPr>
          <w:p>
            <w:pPr>
              <w:pStyle w:val="TableParagraph"/>
              <w:spacing w:before="59"/>
              <w:ind w:right="90"/>
              <w:rPr>
                <w:sz w:val="20"/>
              </w:rPr>
            </w:pPr>
            <w:r>
              <w:rPr>
                <w:color w:val="666666"/>
                <w:sz w:val="20"/>
              </w:rPr>
              <w:t>Used to place an employee (Exempt &amp; Non Exempt) on ERIT. The employee's Job FTE will not be reduced. This action will require manual entry of Job Earnings Distribution.</w:t>
            </w:r>
          </w:p>
        </w:tc>
      </w:tr>
      <w:tr>
        <w:trPr>
          <w:trHeight w:val="1041"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JED – Negotiated Compensation Plans</w:t>
            </w:r>
          </w:p>
        </w:tc>
        <w:tc>
          <w:tcPr>
            <w:tcW w:w="8093" w:type="dxa"/>
          </w:tcPr>
          <w:p>
            <w:pPr>
              <w:pStyle w:val="TableParagraph"/>
              <w:spacing w:before="56"/>
              <w:ind w:right="90"/>
              <w:rPr>
                <w:sz w:val="20"/>
              </w:rPr>
            </w:pPr>
            <w:r>
              <w:rPr>
                <w:color w:val="666666"/>
                <w:sz w:val="20"/>
              </w:rPr>
              <w:t>For Health Sciences Comp Plan, MSP Staff Physician Comp Plan or Negotiated Trial Salary Program use only. This can also be used for Summer Salary where the Earn Code for a given Salary Plan/Grade is not REG. This action will require manual entry of Job Earnings Distribution.</w:t>
            </w:r>
          </w:p>
        </w:tc>
      </w:tr>
      <w:tr>
        <w:trPr>
          <w:trHeight w:val="803"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PHR – Phased Retirement Program</w:t>
            </w:r>
          </w:p>
        </w:tc>
        <w:tc>
          <w:tcPr>
            <w:tcW w:w="8093" w:type="dxa"/>
          </w:tcPr>
          <w:p>
            <w:pPr>
              <w:pStyle w:val="TableParagraph"/>
              <w:spacing w:before="55"/>
              <w:ind w:right="71"/>
              <w:jc w:val="both"/>
              <w:rPr>
                <w:sz w:val="20"/>
              </w:rPr>
            </w:pPr>
            <w:r>
              <w:rPr>
                <w:color w:val="666666"/>
                <w:sz w:val="20"/>
              </w:rPr>
              <w:t>Used to transition into retirement by reducing their appointment percentages </w:t>
            </w:r>
            <w:r>
              <w:rPr>
                <w:color w:val="666666"/>
                <w:spacing w:val="-5"/>
                <w:sz w:val="20"/>
              </w:rPr>
              <w:t>over </w:t>
            </w:r>
            <w:r>
              <w:rPr>
                <w:color w:val="666666"/>
                <w:sz w:val="20"/>
              </w:rPr>
              <w:t>a </w:t>
            </w:r>
            <w:r>
              <w:rPr>
                <w:color w:val="666666"/>
                <w:spacing w:val="-3"/>
                <w:sz w:val="20"/>
              </w:rPr>
              <w:t>period of </w:t>
            </w:r>
            <w:r>
              <w:rPr>
                <w:color w:val="666666"/>
                <w:sz w:val="20"/>
              </w:rPr>
              <w:t>120 </w:t>
            </w:r>
            <w:r>
              <w:rPr>
                <w:color w:val="666666"/>
                <w:spacing w:val="-3"/>
                <w:sz w:val="20"/>
              </w:rPr>
              <w:t>days </w:t>
            </w:r>
            <w:r>
              <w:rPr>
                <w:color w:val="666666"/>
                <w:sz w:val="20"/>
              </w:rPr>
              <w:t>for up to 3 </w:t>
            </w:r>
            <w:r>
              <w:rPr>
                <w:color w:val="666666"/>
                <w:spacing w:val="-4"/>
                <w:sz w:val="20"/>
              </w:rPr>
              <w:t>years. </w:t>
            </w:r>
            <w:r>
              <w:rPr>
                <w:color w:val="666666"/>
                <w:sz w:val="20"/>
              </w:rPr>
              <w:t>This is only applicable to those that voluntarily participate in </w:t>
            </w:r>
            <w:r>
              <w:rPr>
                <w:color w:val="666666"/>
                <w:spacing w:val="-3"/>
                <w:sz w:val="20"/>
              </w:rPr>
              <w:t>an approved </w:t>
            </w:r>
            <w:r>
              <w:rPr>
                <w:color w:val="666666"/>
                <w:sz w:val="20"/>
              </w:rPr>
              <w:t>system-wide phased retirement program.</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spacing w:before="70"/>
              <w:ind w:left="55"/>
              <w:rPr>
                <w:sz w:val="20"/>
              </w:rPr>
            </w:pPr>
            <w:r>
              <w:rPr>
                <w:color w:val="666666"/>
                <w:sz w:val="20"/>
              </w:rPr>
              <w:t>RET – Return to Normal Hours/Dist</w:t>
            </w:r>
          </w:p>
        </w:tc>
        <w:tc>
          <w:tcPr>
            <w:tcW w:w="8093" w:type="dxa"/>
          </w:tcPr>
          <w:p>
            <w:pPr>
              <w:pStyle w:val="TableParagraph"/>
              <w:ind w:right="212"/>
              <w:rPr>
                <w:sz w:val="20"/>
              </w:rPr>
            </w:pPr>
            <w:r>
              <w:rPr>
                <w:color w:val="666666"/>
                <w:sz w:val="20"/>
              </w:rPr>
              <w:t>Used to return employees to normal hours or distribution. This action will require manual entry of Job Earnings Distribution.</w:t>
            </w:r>
          </w:p>
        </w:tc>
      </w:tr>
      <w:tr>
        <w:trPr>
          <w:trHeight w:val="580" w:hRule="atLeast"/>
        </w:trPr>
        <w:tc>
          <w:tcPr>
            <w:tcW w:w="1507" w:type="dxa"/>
            <w:vMerge/>
            <w:tcBorders>
              <w:top w:val="nil"/>
            </w:tcBorders>
          </w:tcPr>
          <w:p>
            <w:pPr>
              <w:rPr>
                <w:sz w:val="2"/>
                <w:szCs w:val="2"/>
              </w:rPr>
            </w:pPr>
          </w:p>
        </w:tc>
        <w:tc>
          <w:tcPr>
            <w:tcW w:w="1860" w:type="dxa"/>
            <w:vMerge w:val="restart"/>
          </w:tcPr>
          <w:p>
            <w:pPr>
              <w:pStyle w:val="TableParagraph"/>
              <w:ind w:left="57" w:right="328" w:hanging="1"/>
              <w:rPr>
                <w:sz w:val="20"/>
              </w:rPr>
            </w:pPr>
            <w:r>
              <w:rPr>
                <w:color w:val="666666"/>
                <w:sz w:val="20"/>
              </w:rPr>
              <w:t>PAY – Pay Rate Change</w:t>
            </w:r>
          </w:p>
        </w:tc>
        <w:tc>
          <w:tcPr>
            <w:tcW w:w="3604" w:type="dxa"/>
          </w:tcPr>
          <w:p>
            <w:pPr>
              <w:pStyle w:val="TableParagraph"/>
              <w:spacing w:before="70"/>
              <w:ind w:left="55"/>
              <w:rPr>
                <w:sz w:val="20"/>
              </w:rPr>
            </w:pPr>
            <w:r>
              <w:rPr>
                <w:color w:val="666666"/>
                <w:sz w:val="20"/>
              </w:rPr>
              <w:t>ACR – Accretion to Bargaining Unit</w:t>
            </w:r>
          </w:p>
        </w:tc>
        <w:tc>
          <w:tcPr>
            <w:tcW w:w="8093" w:type="dxa"/>
          </w:tcPr>
          <w:p>
            <w:pPr>
              <w:pStyle w:val="TableParagraph"/>
              <w:ind w:right="378"/>
              <w:rPr>
                <w:sz w:val="20"/>
              </w:rPr>
            </w:pPr>
            <w:r>
              <w:rPr>
                <w:color w:val="666666"/>
                <w:sz w:val="20"/>
              </w:rPr>
              <w:t>Used when employee is moved from non-represented to represented unit. This can be used for both academic and staff.</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spacing w:before="70"/>
              <w:ind w:left="55"/>
              <w:rPr>
                <w:sz w:val="20"/>
              </w:rPr>
            </w:pPr>
            <w:r>
              <w:rPr>
                <w:color w:val="666666"/>
                <w:sz w:val="20"/>
              </w:rPr>
              <w:t>ATB – Across-The-Board</w:t>
            </w:r>
          </w:p>
        </w:tc>
        <w:tc>
          <w:tcPr>
            <w:tcW w:w="8093" w:type="dxa"/>
          </w:tcPr>
          <w:p>
            <w:pPr>
              <w:pStyle w:val="TableParagraph"/>
              <w:ind w:right="94"/>
              <w:rPr>
                <w:sz w:val="20"/>
              </w:rPr>
            </w:pPr>
            <w:r>
              <w:rPr>
                <w:color w:val="666666"/>
                <w:sz w:val="20"/>
              </w:rPr>
              <w:t>Used for an across the board mass increase due to contract negotiations or other across- the-board increases.</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spacing w:before="70"/>
              <w:ind w:left="55"/>
              <w:rPr>
                <w:sz w:val="20"/>
              </w:rPr>
            </w:pPr>
            <w:r>
              <w:rPr>
                <w:color w:val="666666"/>
                <w:sz w:val="20"/>
              </w:rPr>
              <w:t>DEM – Demotion</w:t>
            </w:r>
          </w:p>
        </w:tc>
        <w:tc>
          <w:tcPr>
            <w:tcW w:w="8093" w:type="dxa"/>
          </w:tcPr>
          <w:p>
            <w:pPr>
              <w:pStyle w:val="TableParagraph"/>
              <w:ind w:right="90"/>
              <w:rPr>
                <w:sz w:val="20"/>
              </w:rPr>
            </w:pPr>
            <w:r>
              <w:rPr>
                <w:color w:val="666666"/>
                <w:sz w:val="20"/>
              </w:rPr>
              <w:t>The pay rate change for an employee who has moved from one position to another which has a lower salary range maximum.</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spacing w:before="70"/>
              <w:ind w:left="55"/>
              <w:rPr>
                <w:sz w:val="20"/>
              </w:rPr>
            </w:pPr>
            <w:r>
              <w:rPr>
                <w:color w:val="666666"/>
                <w:sz w:val="20"/>
              </w:rPr>
              <w:t>EQU – Equity</w:t>
            </w:r>
          </w:p>
        </w:tc>
        <w:tc>
          <w:tcPr>
            <w:tcW w:w="8093" w:type="dxa"/>
          </w:tcPr>
          <w:p>
            <w:pPr>
              <w:pStyle w:val="TableParagraph"/>
              <w:ind w:right="90"/>
              <w:rPr>
                <w:sz w:val="20"/>
              </w:rPr>
            </w:pPr>
            <w:r>
              <w:rPr>
                <w:color w:val="666666"/>
                <w:sz w:val="20"/>
              </w:rPr>
              <w:t>A pay rate change for a salary increase granted to correct an internal or external/market inequity.</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JRD – Job Reclass - Downward</w:t>
            </w:r>
          </w:p>
        </w:tc>
        <w:tc>
          <w:tcPr>
            <w:tcW w:w="8093" w:type="dxa"/>
          </w:tcPr>
          <w:p>
            <w:pPr>
              <w:pStyle w:val="TableParagraph"/>
              <w:spacing w:line="247" w:lineRule="auto" w:before="55"/>
              <w:ind w:right="122"/>
              <w:rPr>
                <w:sz w:val="20"/>
              </w:rPr>
            </w:pPr>
            <w:r>
              <w:rPr>
                <w:color w:val="666666"/>
                <w:sz w:val="20"/>
              </w:rPr>
              <w:t>Used to add a pay rate change for the job reclassification. This action/reason should be a 2nd row inserted in Job upon the position change.</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JRL – Job Reclass - Lateral</w:t>
            </w:r>
          </w:p>
        </w:tc>
        <w:tc>
          <w:tcPr>
            <w:tcW w:w="8093" w:type="dxa"/>
          </w:tcPr>
          <w:p>
            <w:pPr>
              <w:pStyle w:val="TableParagraph"/>
              <w:spacing w:line="247" w:lineRule="auto" w:before="55"/>
              <w:ind w:right="122"/>
              <w:rPr>
                <w:sz w:val="20"/>
              </w:rPr>
            </w:pPr>
            <w:r>
              <w:rPr>
                <w:color w:val="666666"/>
                <w:sz w:val="20"/>
              </w:rPr>
              <w:t>Used to add a pay rate change for the job reclassification. This action/reason should be a 2nd row inserted in Job upon the position change.</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JRU – Job Reclass - Upward</w:t>
            </w:r>
          </w:p>
        </w:tc>
        <w:tc>
          <w:tcPr>
            <w:tcW w:w="8093" w:type="dxa"/>
          </w:tcPr>
          <w:p>
            <w:pPr>
              <w:pStyle w:val="TableParagraph"/>
              <w:spacing w:line="247" w:lineRule="auto" w:before="55"/>
              <w:ind w:right="122"/>
              <w:rPr>
                <w:sz w:val="20"/>
              </w:rPr>
            </w:pPr>
            <w:r>
              <w:rPr>
                <w:color w:val="666666"/>
                <w:sz w:val="20"/>
              </w:rPr>
              <w:t>Used to add a pay rate change for the job reclassification. This action/reason should be a 2nd row inserted in Job upon the position change.</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MER – Merit</w:t>
            </w:r>
          </w:p>
        </w:tc>
        <w:tc>
          <w:tcPr>
            <w:tcW w:w="8093" w:type="dxa"/>
          </w:tcPr>
          <w:p>
            <w:pPr>
              <w:pStyle w:val="TableParagraph"/>
              <w:spacing w:line="247" w:lineRule="auto" w:before="55"/>
              <w:ind w:right="400"/>
              <w:rPr>
                <w:sz w:val="20"/>
              </w:rPr>
            </w:pPr>
            <w:r>
              <w:rPr>
                <w:color w:val="666666"/>
                <w:sz w:val="20"/>
              </w:rPr>
              <w:t>A pay rate change that is a performance-based salary increase granted in accordance with the applicable merit program guidelines or contract provision.</w:t>
            </w:r>
          </w:p>
        </w:tc>
      </w:tr>
      <w:tr>
        <w:trPr>
          <w:trHeight w:val="58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MIN – Bring to Meet Minimum</w:t>
            </w:r>
          </w:p>
        </w:tc>
        <w:tc>
          <w:tcPr>
            <w:tcW w:w="8093" w:type="dxa"/>
          </w:tcPr>
          <w:p>
            <w:pPr>
              <w:pStyle w:val="TableParagraph"/>
              <w:spacing w:line="247" w:lineRule="auto" w:before="55"/>
              <w:ind w:right="185"/>
              <w:rPr>
                <w:sz w:val="20"/>
              </w:rPr>
            </w:pPr>
            <w:r>
              <w:rPr>
                <w:color w:val="666666"/>
                <w:sz w:val="20"/>
              </w:rPr>
              <w:t>A salary increase granted in order to raise an employee's salary to meet a new minimum salary range or step rate.</w:t>
            </w:r>
          </w:p>
        </w:tc>
      </w:tr>
      <w:tr>
        <w:trPr>
          <w:trHeight w:val="350" w:hRule="atLeast"/>
        </w:trPr>
        <w:tc>
          <w:tcPr>
            <w:tcW w:w="1507" w:type="dxa"/>
            <w:vMerge/>
            <w:tcBorders>
              <w:top w:val="nil"/>
            </w:tcBorders>
          </w:tcPr>
          <w:p>
            <w:pPr>
              <w:rPr>
                <w:sz w:val="2"/>
                <w:szCs w:val="2"/>
              </w:rPr>
            </w:pPr>
          </w:p>
        </w:tc>
        <w:tc>
          <w:tcPr>
            <w:tcW w:w="1860" w:type="dxa"/>
            <w:vMerge/>
            <w:tcBorders>
              <w:top w:val="nil"/>
            </w:tcBorders>
          </w:tcPr>
          <w:p>
            <w:pPr>
              <w:rPr>
                <w:sz w:val="2"/>
                <w:szCs w:val="2"/>
              </w:rPr>
            </w:pPr>
          </w:p>
        </w:tc>
        <w:tc>
          <w:tcPr>
            <w:tcW w:w="3604" w:type="dxa"/>
          </w:tcPr>
          <w:p>
            <w:pPr>
              <w:pStyle w:val="TableParagraph"/>
              <w:ind w:left="55"/>
              <w:rPr>
                <w:sz w:val="20"/>
              </w:rPr>
            </w:pPr>
            <w:r>
              <w:rPr>
                <w:color w:val="666666"/>
                <w:sz w:val="20"/>
              </w:rPr>
              <w:t>PRO – Promotion/Academic Promotion</w:t>
            </w:r>
          </w:p>
        </w:tc>
        <w:tc>
          <w:tcPr>
            <w:tcW w:w="8093" w:type="dxa"/>
          </w:tcPr>
          <w:p>
            <w:pPr>
              <w:pStyle w:val="TableParagraph"/>
              <w:rPr>
                <w:sz w:val="20"/>
              </w:rPr>
            </w:pPr>
            <w:r>
              <w:rPr>
                <w:color w:val="666666"/>
                <w:sz w:val="20"/>
              </w:rPr>
              <w:t>Used for pay rate change that occurs due to a Promotion.</w:t>
            </w:r>
          </w:p>
        </w:tc>
      </w:tr>
    </w:tbl>
    <w:p>
      <w:pPr>
        <w:spacing w:after="0"/>
        <w:rPr>
          <w:sz w:val="20"/>
        </w:rPr>
        <w:sectPr>
          <w:pgSz w:w="15840" w:h="12240" w:orient="landscape"/>
          <w:pgMar w:header="316" w:footer="351" w:top="1600" w:bottom="540" w:left="260" w:right="280"/>
        </w:sectPr>
      </w:pPr>
    </w:p>
    <w:p>
      <w:pPr>
        <w:pStyle w:val="BodyText"/>
        <w:spacing w:before="11"/>
        <w:rPr>
          <w:rFonts w:ascii="Times New Roman"/>
          <w:sz w:val="10"/>
        </w:rPr>
      </w:pPr>
    </w:p>
    <w:tbl>
      <w:tblPr>
        <w:tblW w:w="0" w:type="auto"/>
        <w:jc w:val="left"/>
        <w:tblInd w:w="119"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5"/>
        <w:gridCol w:w="1861"/>
        <w:gridCol w:w="3600"/>
        <w:gridCol w:w="8096"/>
      </w:tblGrid>
      <w:tr>
        <w:trPr>
          <w:trHeight w:val="470" w:hRule="atLeast"/>
        </w:trPr>
        <w:tc>
          <w:tcPr>
            <w:tcW w:w="1505" w:type="dxa"/>
            <w:tcBorders>
              <w:top w:val="nil"/>
              <w:left w:val="nil"/>
              <w:bottom w:val="nil"/>
              <w:right w:val="nil"/>
            </w:tcBorders>
            <w:shd w:val="clear" w:color="auto" w:fill="00778B"/>
          </w:tcPr>
          <w:p>
            <w:pPr>
              <w:pStyle w:val="TableParagraph"/>
              <w:spacing w:before="107"/>
              <w:ind w:left="498" w:right="487"/>
              <w:jc w:val="center"/>
              <w:rPr>
                <w:b/>
                <w:sz w:val="20"/>
              </w:rPr>
            </w:pPr>
            <w:r>
              <w:rPr>
                <w:b/>
                <w:color w:val="FFFFFF"/>
                <w:sz w:val="20"/>
              </w:rPr>
              <w:t>Page</w:t>
            </w:r>
          </w:p>
        </w:tc>
        <w:tc>
          <w:tcPr>
            <w:tcW w:w="1861" w:type="dxa"/>
            <w:tcBorders>
              <w:top w:val="nil"/>
              <w:left w:val="nil"/>
              <w:bottom w:val="nil"/>
              <w:right w:val="nil"/>
            </w:tcBorders>
            <w:shd w:val="clear" w:color="auto" w:fill="00778B"/>
          </w:tcPr>
          <w:p>
            <w:pPr>
              <w:pStyle w:val="TableParagraph"/>
              <w:spacing w:before="107"/>
              <w:ind w:left="626"/>
              <w:rPr>
                <w:b/>
                <w:sz w:val="20"/>
              </w:rPr>
            </w:pPr>
            <w:r>
              <w:rPr>
                <w:b/>
                <w:color w:val="FFFFFF"/>
                <w:sz w:val="20"/>
              </w:rPr>
              <w:t>Action</w:t>
            </w:r>
          </w:p>
        </w:tc>
        <w:tc>
          <w:tcPr>
            <w:tcW w:w="3600" w:type="dxa"/>
            <w:tcBorders>
              <w:top w:val="nil"/>
              <w:left w:val="nil"/>
              <w:bottom w:val="nil"/>
              <w:right w:val="nil"/>
            </w:tcBorders>
            <w:shd w:val="clear" w:color="auto" w:fill="00778B"/>
          </w:tcPr>
          <w:p>
            <w:pPr>
              <w:pStyle w:val="TableParagraph"/>
              <w:spacing w:before="107"/>
              <w:ind w:left="1426" w:right="1411"/>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07"/>
              <w:ind w:left="3485" w:right="3467"/>
              <w:jc w:val="center"/>
              <w:rPr>
                <w:b/>
                <w:sz w:val="20"/>
              </w:rPr>
            </w:pPr>
            <w:r>
              <w:rPr>
                <w:b/>
                <w:color w:val="FFFFFF"/>
                <w:sz w:val="20"/>
              </w:rPr>
              <w:t>Description</w:t>
            </w:r>
          </w:p>
        </w:tc>
      </w:tr>
      <w:tr>
        <w:trPr>
          <w:trHeight w:val="1743" w:hRule="atLeast"/>
        </w:trPr>
        <w:tc>
          <w:tcPr>
            <w:tcW w:w="1505" w:type="dxa"/>
            <w:vMerge w:val="restart"/>
          </w:tcPr>
          <w:p>
            <w:pPr>
              <w:pStyle w:val="TableParagraph"/>
              <w:spacing w:before="0"/>
              <w:ind w:left="0"/>
              <w:rPr>
                <w:rFonts w:ascii="Times New Roman"/>
                <w:sz w:val="20"/>
              </w:rPr>
            </w:pPr>
          </w:p>
        </w:tc>
        <w:tc>
          <w:tcPr>
            <w:tcW w:w="1861" w:type="dxa"/>
            <w:vMerge w:val="restart"/>
          </w:tcPr>
          <w:p>
            <w:pPr>
              <w:pStyle w:val="TableParagraph"/>
              <w:spacing w:before="0"/>
              <w:ind w:left="0"/>
              <w:rPr>
                <w:rFonts w:ascii="Times New Roman"/>
                <w:sz w:val="20"/>
              </w:rPr>
            </w:pPr>
          </w:p>
        </w:tc>
        <w:tc>
          <w:tcPr>
            <w:tcW w:w="3600" w:type="dxa"/>
          </w:tcPr>
          <w:p>
            <w:pPr>
              <w:pStyle w:val="TableParagraph"/>
              <w:spacing w:before="59"/>
              <w:ind w:left="56" w:right="658" w:hanging="1"/>
              <w:rPr>
                <w:sz w:val="20"/>
              </w:rPr>
            </w:pPr>
            <w:r>
              <w:rPr>
                <w:color w:val="666666"/>
                <w:sz w:val="20"/>
              </w:rPr>
              <w:t>REF – Range Adjustment/Comp Refresh</w:t>
            </w:r>
          </w:p>
        </w:tc>
        <w:tc>
          <w:tcPr>
            <w:tcW w:w="8096" w:type="dxa"/>
          </w:tcPr>
          <w:p>
            <w:pPr>
              <w:pStyle w:val="TableParagraph"/>
              <w:spacing w:before="59"/>
              <w:ind w:left="63" w:right="299"/>
              <w:rPr>
                <w:sz w:val="20"/>
              </w:rPr>
            </w:pPr>
            <w:r>
              <w:rPr>
                <w:color w:val="666666"/>
                <w:sz w:val="20"/>
              </w:rPr>
              <w:t>Will be used by Comp Refresh process only. The process could be run for the following reasons:</w:t>
            </w:r>
          </w:p>
          <w:p>
            <w:pPr>
              <w:pStyle w:val="TableParagraph"/>
              <w:spacing w:before="66"/>
              <w:ind w:left="63"/>
              <w:rPr>
                <w:sz w:val="20"/>
              </w:rPr>
            </w:pPr>
            <w:r>
              <w:rPr>
                <w:color w:val="666666"/>
                <w:sz w:val="20"/>
              </w:rPr>
              <w:t>-Range Adjustment</w:t>
            </w:r>
          </w:p>
          <w:p>
            <w:pPr>
              <w:pStyle w:val="TableParagraph"/>
              <w:spacing w:before="58"/>
              <w:ind w:left="63"/>
              <w:rPr>
                <w:sz w:val="20"/>
              </w:rPr>
            </w:pPr>
            <w:r>
              <w:rPr>
                <w:color w:val="666666"/>
                <w:sz w:val="20"/>
              </w:rPr>
              <w:t>-Academic Scale Adjustment</w:t>
            </w:r>
          </w:p>
          <w:p>
            <w:pPr>
              <w:pStyle w:val="TableParagraph"/>
              <w:spacing w:before="58"/>
              <w:ind w:left="63"/>
              <w:rPr>
                <w:sz w:val="20"/>
              </w:rPr>
            </w:pPr>
            <w:r>
              <w:rPr>
                <w:color w:val="666666"/>
                <w:sz w:val="20"/>
              </w:rPr>
              <w:t>-Across the Board Increases</w:t>
            </w:r>
          </w:p>
          <w:p>
            <w:pPr>
              <w:pStyle w:val="TableParagraph"/>
              <w:spacing w:before="65"/>
              <w:ind w:left="63"/>
              <w:rPr>
                <w:sz w:val="20"/>
              </w:rPr>
            </w:pPr>
            <w:r>
              <w:rPr>
                <w:color w:val="666666"/>
                <w:sz w:val="20"/>
              </w:rPr>
              <w:t>-Mass updates</w:t>
            </w:r>
          </w:p>
        </w:tc>
      </w:tr>
      <w:tr>
        <w:trPr>
          <w:trHeight w:val="58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STI – Step Increase/Progression</w:t>
            </w:r>
          </w:p>
        </w:tc>
        <w:tc>
          <w:tcPr>
            <w:tcW w:w="8096" w:type="dxa"/>
          </w:tcPr>
          <w:p>
            <w:pPr>
              <w:pStyle w:val="TableParagraph"/>
              <w:spacing w:before="55"/>
              <w:ind w:left="63" w:right="153"/>
              <w:rPr>
                <w:sz w:val="20"/>
              </w:rPr>
            </w:pPr>
            <w:r>
              <w:rPr>
                <w:color w:val="666666"/>
                <w:sz w:val="20"/>
              </w:rPr>
              <w:t>A pay rate change that is an advancement to a higher step in accordance with applicable contract provisions. Will be used in the Administer Compensation business process.</w:t>
            </w:r>
          </w:p>
        </w:tc>
      </w:tr>
      <w:tr>
        <w:trPr>
          <w:trHeight w:val="350" w:hRule="atLeast"/>
        </w:trPr>
        <w:tc>
          <w:tcPr>
            <w:tcW w:w="1505" w:type="dxa"/>
            <w:vMerge w:val="restart"/>
          </w:tcPr>
          <w:p>
            <w:pPr>
              <w:pStyle w:val="TableParagraph"/>
              <w:spacing w:before="0"/>
              <w:ind w:left="0"/>
              <w:rPr>
                <w:rFonts w:ascii="Times New Roman"/>
                <w:sz w:val="20"/>
              </w:rPr>
            </w:pPr>
          </w:p>
        </w:tc>
        <w:tc>
          <w:tcPr>
            <w:tcW w:w="1861" w:type="dxa"/>
            <w:vMerge w:val="restart"/>
          </w:tcPr>
          <w:p>
            <w:pPr>
              <w:pStyle w:val="TableParagraph"/>
              <w:spacing w:before="56"/>
              <w:ind w:left="59" w:right="415"/>
              <w:rPr>
                <w:sz w:val="20"/>
              </w:rPr>
            </w:pPr>
            <w:r>
              <w:rPr>
                <w:color w:val="666666"/>
                <w:sz w:val="20"/>
              </w:rPr>
              <w:t>POS – Position Change</w:t>
            </w:r>
          </w:p>
        </w:tc>
        <w:tc>
          <w:tcPr>
            <w:tcW w:w="3600" w:type="dxa"/>
          </w:tcPr>
          <w:p>
            <w:pPr>
              <w:pStyle w:val="TableParagraph"/>
              <w:ind w:left="56"/>
              <w:rPr>
                <w:sz w:val="20"/>
              </w:rPr>
            </w:pPr>
            <w:r>
              <w:rPr>
                <w:color w:val="666666"/>
                <w:sz w:val="20"/>
              </w:rPr>
              <w:t>COR – Position Data Correction</w:t>
            </w:r>
          </w:p>
        </w:tc>
        <w:tc>
          <w:tcPr>
            <w:tcW w:w="8096" w:type="dxa"/>
            <w:vMerge w:val="restart"/>
          </w:tcPr>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0"/>
              <w:ind w:left="0"/>
              <w:rPr>
                <w:rFonts w:ascii="Times New Roman"/>
                <w:sz w:val="22"/>
              </w:rPr>
            </w:pPr>
          </w:p>
          <w:p>
            <w:pPr>
              <w:pStyle w:val="TableParagraph"/>
              <w:spacing w:before="6"/>
              <w:ind w:left="0"/>
              <w:rPr>
                <w:rFonts w:ascii="Times New Roman"/>
                <w:sz w:val="26"/>
              </w:rPr>
            </w:pPr>
          </w:p>
          <w:p>
            <w:pPr>
              <w:pStyle w:val="TableParagraph"/>
              <w:spacing w:before="0"/>
              <w:ind w:left="63" w:right="299"/>
              <w:rPr>
                <w:sz w:val="20"/>
              </w:rPr>
            </w:pPr>
            <w:r>
              <w:rPr>
                <w:color w:val="666666"/>
                <w:sz w:val="20"/>
              </w:rPr>
              <w:t>These Action/Reason combinations are automatically copied to a new row on the </w:t>
            </w:r>
            <w:r>
              <w:rPr>
                <w:b/>
                <w:color w:val="666666"/>
                <w:sz w:val="20"/>
              </w:rPr>
              <w:t>Job Data </w:t>
            </w:r>
            <w:r>
              <w:rPr>
                <w:color w:val="666666"/>
                <w:sz w:val="20"/>
              </w:rPr>
              <w:t>tab when a position change is made on the </w:t>
            </w:r>
            <w:r>
              <w:rPr>
                <w:b/>
                <w:color w:val="666666"/>
                <w:sz w:val="20"/>
              </w:rPr>
              <w:t>Position Data </w:t>
            </w:r>
            <w:r>
              <w:rPr>
                <w:color w:val="666666"/>
                <w:sz w:val="20"/>
              </w:rPr>
              <w:t>tab and that change impacts incumbent </w:t>
            </w:r>
            <w:r>
              <w:rPr>
                <w:b/>
                <w:color w:val="666666"/>
                <w:sz w:val="20"/>
              </w:rPr>
              <w:t>Job Data </w:t>
            </w:r>
            <w:r>
              <w:rPr>
                <w:color w:val="666666"/>
                <w:sz w:val="20"/>
              </w:rPr>
              <w:t>information.</w:t>
            </w:r>
          </w:p>
          <w:p>
            <w:pPr>
              <w:pStyle w:val="TableParagraph"/>
              <w:spacing w:before="59"/>
              <w:ind w:left="63"/>
              <w:rPr>
                <w:sz w:val="20"/>
              </w:rPr>
            </w:pPr>
            <w:r>
              <w:rPr>
                <w:color w:val="666666"/>
                <w:sz w:val="20"/>
              </w:rPr>
              <w:t>Refer to </w:t>
            </w:r>
            <w:r>
              <w:rPr>
                <w:b/>
                <w:color w:val="666666"/>
                <w:sz w:val="20"/>
              </w:rPr>
              <w:t>Position Data </w:t>
            </w:r>
            <w:r>
              <w:rPr>
                <w:color w:val="666666"/>
                <w:sz w:val="20"/>
              </w:rPr>
              <w:t>action and reason codes for description.</w:t>
            </w:r>
          </w:p>
        </w:tc>
      </w:tr>
      <w:tr>
        <w:trPr>
          <w:trHeight w:val="58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56"/>
              <w:ind w:left="56"/>
              <w:rPr>
                <w:sz w:val="20"/>
              </w:rPr>
            </w:pPr>
            <w:r>
              <w:rPr>
                <w:color w:val="666666"/>
                <w:sz w:val="20"/>
              </w:rPr>
              <w:t>ERC – Update Employee Relations Code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FL2 – FLSA Update- Does Not Meet</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FL3 – FLSA Revert</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FLS – FLSA Override Due to Review</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FTE – Revert to Position FTE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JFT – Job Data FTE Override</w:t>
            </w:r>
          </w:p>
        </w:tc>
        <w:tc>
          <w:tcPr>
            <w:tcW w:w="8096" w:type="dxa"/>
            <w:vMerge/>
            <w:tcBorders>
              <w:top w:val="nil"/>
            </w:tcBorders>
          </w:tcPr>
          <w:p>
            <w:pPr>
              <w:rPr>
                <w:sz w:val="2"/>
                <w:szCs w:val="2"/>
              </w:rPr>
            </w:pPr>
          </w:p>
        </w:tc>
      </w:tr>
      <w:tr>
        <w:trPr>
          <w:trHeight w:val="58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56"/>
              <w:ind w:left="55" w:right="1014"/>
              <w:rPr>
                <w:sz w:val="20"/>
              </w:rPr>
            </w:pPr>
            <w:r>
              <w:rPr>
                <w:color w:val="666666"/>
                <w:sz w:val="20"/>
              </w:rPr>
              <w:t>JRD – Job Reclassification - Downward</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JRL – Job Reclassification - Lateral</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JRU – Job Reclassification - Upward</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JSH – Job Sharing</w:t>
            </w:r>
          </w:p>
        </w:tc>
        <w:tc>
          <w:tcPr>
            <w:tcW w:w="8096" w:type="dxa"/>
            <w:vMerge/>
            <w:tcBorders>
              <w:top w:val="nil"/>
            </w:tcBorders>
          </w:tcPr>
          <w:p>
            <w:pPr>
              <w:rPr>
                <w:sz w:val="2"/>
                <w:szCs w:val="2"/>
              </w:rPr>
            </w:pPr>
          </w:p>
        </w:tc>
      </w:tr>
      <w:tr>
        <w:trPr>
          <w:trHeight w:val="58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56"/>
              <w:ind w:left="55" w:right="458"/>
              <w:rPr>
                <w:sz w:val="20"/>
              </w:rPr>
            </w:pPr>
            <w:r>
              <w:rPr>
                <w:color w:val="666666"/>
                <w:sz w:val="20"/>
              </w:rPr>
              <w:t>PIT – Permanent Increase In Time (FTE)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ind w:left="56"/>
              <w:rPr>
                <w:sz w:val="20"/>
              </w:rPr>
            </w:pPr>
            <w:r>
              <w:rPr>
                <w:color w:val="666666"/>
                <w:sz w:val="20"/>
              </w:rPr>
              <w:t>PRO – Promotion</w:t>
            </w:r>
          </w:p>
        </w:tc>
        <w:tc>
          <w:tcPr>
            <w:tcW w:w="8096" w:type="dxa"/>
            <w:vMerge/>
            <w:tcBorders>
              <w:top w:val="nil"/>
            </w:tcBorders>
          </w:tcPr>
          <w:p>
            <w:pPr>
              <w:rPr>
                <w:sz w:val="2"/>
                <w:szCs w:val="2"/>
              </w:rPr>
            </w:pPr>
          </w:p>
        </w:tc>
      </w:tr>
      <w:tr>
        <w:trPr>
          <w:trHeight w:val="573"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56"/>
              <w:ind w:left="56" w:right="234"/>
              <w:rPr>
                <w:sz w:val="20"/>
              </w:rPr>
            </w:pPr>
            <w:r>
              <w:rPr>
                <w:color w:val="666666"/>
                <w:sz w:val="20"/>
              </w:rPr>
              <w:t>PRT – Permanent Reduction In Time (FTE)</w:t>
            </w:r>
          </w:p>
        </w:tc>
        <w:tc>
          <w:tcPr>
            <w:tcW w:w="8096" w:type="dxa"/>
            <w:vMerge/>
            <w:tcBorders>
              <w:top w:val="nil"/>
            </w:tcBorders>
          </w:tcPr>
          <w:p>
            <w:pPr>
              <w:rPr>
                <w:sz w:val="2"/>
                <w:szCs w:val="2"/>
              </w:rPr>
            </w:pPr>
          </w:p>
        </w:tc>
      </w:tr>
      <w:tr>
        <w:trPr>
          <w:trHeight w:val="350"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70"/>
              <w:ind w:left="56"/>
              <w:rPr>
                <w:sz w:val="20"/>
              </w:rPr>
            </w:pPr>
            <w:r>
              <w:rPr>
                <w:color w:val="666666"/>
                <w:sz w:val="20"/>
              </w:rPr>
              <w:t>REO – Re-Organization/Restructure</w:t>
            </w:r>
          </w:p>
        </w:tc>
        <w:tc>
          <w:tcPr>
            <w:tcW w:w="8096" w:type="dxa"/>
            <w:vMerge/>
            <w:tcBorders>
              <w:top w:val="nil"/>
            </w:tcBorders>
          </w:tcPr>
          <w:p>
            <w:pPr>
              <w:rPr>
                <w:sz w:val="2"/>
                <w:szCs w:val="2"/>
              </w:rPr>
            </w:pPr>
          </w:p>
        </w:tc>
      </w:tr>
      <w:tr>
        <w:trPr>
          <w:trHeight w:val="357" w:hRule="atLeast"/>
        </w:trPr>
        <w:tc>
          <w:tcPr>
            <w:tcW w:w="1505" w:type="dxa"/>
            <w:vMerge/>
            <w:tcBorders>
              <w:top w:val="nil"/>
            </w:tcBorders>
          </w:tcPr>
          <w:p>
            <w:pPr>
              <w:rPr>
                <w:sz w:val="2"/>
                <w:szCs w:val="2"/>
              </w:rPr>
            </w:pPr>
          </w:p>
        </w:tc>
        <w:tc>
          <w:tcPr>
            <w:tcW w:w="1861" w:type="dxa"/>
            <w:vMerge/>
            <w:tcBorders>
              <w:top w:val="nil"/>
            </w:tcBorders>
          </w:tcPr>
          <w:p>
            <w:pPr>
              <w:rPr>
                <w:sz w:val="2"/>
                <w:szCs w:val="2"/>
              </w:rPr>
            </w:pPr>
          </w:p>
        </w:tc>
        <w:tc>
          <w:tcPr>
            <w:tcW w:w="3600" w:type="dxa"/>
          </w:tcPr>
          <w:p>
            <w:pPr>
              <w:pStyle w:val="TableParagraph"/>
              <w:spacing w:before="70"/>
              <w:ind w:left="56"/>
              <w:rPr>
                <w:sz w:val="20"/>
              </w:rPr>
            </w:pPr>
            <w:r>
              <w:rPr>
                <w:color w:val="666666"/>
                <w:sz w:val="20"/>
              </w:rPr>
              <w:t>RTC – Reports To Change</w:t>
            </w:r>
          </w:p>
        </w:tc>
        <w:tc>
          <w:tcPr>
            <w:tcW w:w="8096" w:type="dxa"/>
            <w:vMerge/>
            <w:tcBorders>
              <w:top w:val="nil"/>
            </w:tcBorders>
          </w:tcPr>
          <w:p>
            <w:pPr>
              <w:rPr>
                <w:sz w:val="2"/>
                <w:szCs w:val="2"/>
              </w:rPr>
            </w:pPr>
          </w:p>
        </w:tc>
      </w:tr>
    </w:tbl>
    <w:p>
      <w:pPr>
        <w:spacing w:after="0"/>
        <w:rPr>
          <w:sz w:val="2"/>
          <w:szCs w:val="2"/>
        </w:rPr>
        <w:sectPr>
          <w:pgSz w:w="15840" w:h="12240" w:orient="landscape"/>
          <w:pgMar w:header="316" w:footer="351" w:top="1600" w:bottom="540" w:left="260" w:right="280"/>
        </w:sectPr>
      </w:pPr>
    </w:p>
    <w:p>
      <w:pPr>
        <w:pStyle w:val="BodyText"/>
        <w:spacing w:before="11"/>
        <w:rPr>
          <w:rFonts w:ascii="Times New Roman"/>
          <w:sz w:val="10"/>
        </w:rPr>
      </w:pPr>
    </w:p>
    <w:tbl>
      <w:tblPr>
        <w:tblW w:w="0" w:type="auto"/>
        <w:jc w:val="left"/>
        <w:tblInd w:w="119"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1508"/>
        <w:gridCol w:w="1858"/>
        <w:gridCol w:w="3601"/>
        <w:gridCol w:w="8096"/>
      </w:tblGrid>
      <w:tr>
        <w:trPr>
          <w:trHeight w:val="470" w:hRule="atLeast"/>
        </w:trPr>
        <w:tc>
          <w:tcPr>
            <w:tcW w:w="1508" w:type="dxa"/>
            <w:tcBorders>
              <w:top w:val="nil"/>
              <w:left w:val="nil"/>
              <w:bottom w:val="nil"/>
              <w:right w:val="nil"/>
            </w:tcBorders>
            <w:shd w:val="clear" w:color="auto" w:fill="00778B"/>
          </w:tcPr>
          <w:p>
            <w:pPr>
              <w:pStyle w:val="TableParagraph"/>
              <w:spacing w:before="107"/>
              <w:ind w:left="498" w:right="490"/>
              <w:jc w:val="center"/>
              <w:rPr>
                <w:b/>
                <w:sz w:val="20"/>
              </w:rPr>
            </w:pPr>
            <w:r>
              <w:rPr>
                <w:b/>
                <w:color w:val="FFFFFF"/>
                <w:sz w:val="20"/>
              </w:rPr>
              <w:t>Page</w:t>
            </w:r>
          </w:p>
        </w:tc>
        <w:tc>
          <w:tcPr>
            <w:tcW w:w="1858" w:type="dxa"/>
            <w:tcBorders>
              <w:top w:val="nil"/>
              <w:left w:val="nil"/>
              <w:bottom w:val="nil"/>
              <w:right w:val="nil"/>
            </w:tcBorders>
            <w:shd w:val="clear" w:color="auto" w:fill="00778B"/>
          </w:tcPr>
          <w:p>
            <w:pPr>
              <w:pStyle w:val="TableParagraph"/>
              <w:spacing w:before="107"/>
              <w:ind w:left="623"/>
              <w:rPr>
                <w:b/>
                <w:sz w:val="20"/>
              </w:rPr>
            </w:pPr>
            <w:r>
              <w:rPr>
                <w:b/>
                <w:color w:val="FFFFFF"/>
                <w:sz w:val="20"/>
              </w:rPr>
              <w:t>Action</w:t>
            </w:r>
          </w:p>
        </w:tc>
        <w:tc>
          <w:tcPr>
            <w:tcW w:w="3601" w:type="dxa"/>
            <w:tcBorders>
              <w:top w:val="nil"/>
              <w:left w:val="nil"/>
              <w:bottom w:val="nil"/>
              <w:right w:val="nil"/>
            </w:tcBorders>
            <w:shd w:val="clear" w:color="auto" w:fill="00778B"/>
          </w:tcPr>
          <w:p>
            <w:pPr>
              <w:pStyle w:val="TableParagraph"/>
              <w:spacing w:before="107"/>
              <w:ind w:left="1426" w:right="1412"/>
              <w:jc w:val="center"/>
              <w:rPr>
                <w:b/>
                <w:sz w:val="20"/>
              </w:rPr>
            </w:pPr>
            <w:r>
              <w:rPr>
                <w:b/>
                <w:color w:val="FFFFFF"/>
                <w:sz w:val="20"/>
              </w:rPr>
              <w:t>Reason</w:t>
            </w:r>
          </w:p>
        </w:tc>
        <w:tc>
          <w:tcPr>
            <w:tcW w:w="8096" w:type="dxa"/>
            <w:tcBorders>
              <w:top w:val="nil"/>
              <w:left w:val="nil"/>
              <w:bottom w:val="nil"/>
              <w:right w:val="nil"/>
            </w:tcBorders>
            <w:shd w:val="clear" w:color="auto" w:fill="00778B"/>
          </w:tcPr>
          <w:p>
            <w:pPr>
              <w:pStyle w:val="TableParagraph"/>
              <w:spacing w:before="107"/>
              <w:ind w:left="3484" w:right="3468"/>
              <w:jc w:val="center"/>
              <w:rPr>
                <w:b/>
                <w:sz w:val="20"/>
              </w:rPr>
            </w:pPr>
            <w:r>
              <w:rPr>
                <w:b/>
                <w:color w:val="FFFFFF"/>
                <w:sz w:val="20"/>
              </w:rPr>
              <w:t>Description</w:t>
            </w:r>
          </w:p>
        </w:tc>
      </w:tr>
      <w:tr>
        <w:trPr>
          <w:trHeight w:val="353" w:hRule="atLeast"/>
        </w:trPr>
        <w:tc>
          <w:tcPr>
            <w:tcW w:w="1508" w:type="dxa"/>
            <w:vMerge w:val="restart"/>
          </w:tcPr>
          <w:p>
            <w:pPr>
              <w:pStyle w:val="TableParagraph"/>
              <w:spacing w:before="0"/>
              <w:ind w:left="0"/>
              <w:rPr>
                <w:rFonts w:ascii="Times New Roman"/>
                <w:sz w:val="20"/>
              </w:rPr>
            </w:pPr>
          </w:p>
        </w:tc>
        <w:tc>
          <w:tcPr>
            <w:tcW w:w="1858" w:type="dxa"/>
            <w:vMerge w:val="restart"/>
          </w:tcPr>
          <w:p>
            <w:pPr>
              <w:pStyle w:val="TableParagraph"/>
              <w:spacing w:before="0"/>
              <w:ind w:left="0"/>
              <w:rPr>
                <w:rFonts w:ascii="Times New Roman"/>
                <w:sz w:val="20"/>
              </w:rPr>
            </w:pPr>
          </w:p>
        </w:tc>
        <w:tc>
          <w:tcPr>
            <w:tcW w:w="3601" w:type="dxa"/>
          </w:tcPr>
          <w:p>
            <w:pPr>
              <w:pStyle w:val="TableParagraph"/>
              <w:spacing w:before="66"/>
              <w:ind w:left="56"/>
              <w:rPr>
                <w:sz w:val="20"/>
              </w:rPr>
            </w:pPr>
            <w:r>
              <w:rPr>
                <w:color w:val="666666"/>
                <w:sz w:val="20"/>
              </w:rPr>
              <w:t>TIT – Temporary Increase in Time</w:t>
            </w:r>
          </w:p>
        </w:tc>
        <w:tc>
          <w:tcPr>
            <w:tcW w:w="8096" w:type="dxa"/>
            <w:vMerge w:val="restart"/>
          </w:tcPr>
          <w:p>
            <w:pPr>
              <w:pStyle w:val="TableParagraph"/>
              <w:spacing w:before="0"/>
              <w:ind w:left="0"/>
              <w:rPr>
                <w:rFonts w:ascii="Times New Roman"/>
                <w:sz w:val="20"/>
              </w:rPr>
            </w:pP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TRT – Temporary Reduction in Time</w:t>
            </w:r>
          </w:p>
        </w:tc>
        <w:tc>
          <w:tcPr>
            <w:tcW w:w="8096" w:type="dxa"/>
            <w:vMerge/>
            <w:tcBorders>
              <w:top w:val="nil"/>
            </w:tcBorders>
          </w:tcPr>
          <w:p>
            <w:pPr>
              <w:rPr>
                <w:sz w:val="2"/>
                <w:szCs w:val="2"/>
              </w:rPr>
            </w:pP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XFR – Transfer</w:t>
            </w:r>
          </w:p>
        </w:tc>
        <w:tc>
          <w:tcPr>
            <w:tcW w:w="8096" w:type="dxa"/>
            <w:vMerge/>
            <w:tcBorders>
              <w:top w:val="nil"/>
            </w:tcBorders>
          </w:tcPr>
          <w:p>
            <w:pPr>
              <w:rPr>
                <w:sz w:val="2"/>
                <w:szCs w:val="2"/>
              </w:rPr>
            </w:pPr>
          </w:p>
        </w:tc>
      </w:tr>
      <w:tr>
        <w:trPr>
          <w:trHeight w:val="810" w:hRule="atLeast"/>
        </w:trPr>
        <w:tc>
          <w:tcPr>
            <w:tcW w:w="1508" w:type="dxa"/>
            <w:vMerge/>
            <w:tcBorders>
              <w:top w:val="nil"/>
            </w:tcBorders>
          </w:tcPr>
          <w:p>
            <w:pPr>
              <w:rPr>
                <w:sz w:val="2"/>
                <w:szCs w:val="2"/>
              </w:rPr>
            </w:pPr>
          </w:p>
        </w:tc>
        <w:tc>
          <w:tcPr>
            <w:tcW w:w="1858" w:type="dxa"/>
          </w:tcPr>
          <w:p>
            <w:pPr>
              <w:pStyle w:val="TableParagraph"/>
              <w:spacing w:before="56"/>
              <w:ind w:left="56"/>
              <w:rPr>
                <w:sz w:val="20"/>
              </w:rPr>
            </w:pPr>
            <w:r>
              <w:rPr>
                <w:color w:val="666666"/>
                <w:sz w:val="20"/>
              </w:rPr>
              <w:t>RES –</w:t>
            </w:r>
          </w:p>
          <w:p>
            <w:pPr>
              <w:pStyle w:val="TableParagraph"/>
              <w:spacing w:before="0"/>
              <w:ind w:left="56" w:right="327"/>
              <w:rPr>
                <w:sz w:val="20"/>
              </w:rPr>
            </w:pPr>
            <w:r>
              <w:rPr>
                <w:color w:val="666666"/>
                <w:sz w:val="20"/>
              </w:rPr>
              <w:t>Reserve/Faculty Abeyance</w:t>
            </w:r>
          </w:p>
        </w:tc>
        <w:tc>
          <w:tcPr>
            <w:tcW w:w="3601" w:type="dxa"/>
          </w:tcPr>
          <w:p>
            <w:pPr>
              <w:pStyle w:val="TableParagraph"/>
              <w:ind w:left="56"/>
              <w:rPr>
                <w:sz w:val="20"/>
              </w:rPr>
            </w:pPr>
            <w:r>
              <w:rPr>
                <w:color w:val="666666"/>
                <w:sz w:val="20"/>
              </w:rPr>
              <w:t>RES – Reserve Appointment (Staff)</w:t>
            </w:r>
          </w:p>
        </w:tc>
        <w:tc>
          <w:tcPr>
            <w:tcW w:w="8096" w:type="dxa"/>
          </w:tcPr>
          <w:p>
            <w:pPr>
              <w:pStyle w:val="TableParagraph"/>
              <w:ind w:left="62"/>
              <w:rPr>
                <w:sz w:val="20"/>
              </w:rPr>
            </w:pPr>
            <w:r>
              <w:rPr>
                <w:color w:val="666666"/>
                <w:sz w:val="20"/>
              </w:rPr>
              <w:t>Used to place employee's appointment on full-time reserve.</w:t>
            </w:r>
          </w:p>
        </w:tc>
      </w:tr>
      <w:tr>
        <w:trPr>
          <w:trHeight w:val="580" w:hRule="atLeast"/>
        </w:trPr>
        <w:tc>
          <w:tcPr>
            <w:tcW w:w="1508" w:type="dxa"/>
            <w:vMerge/>
            <w:tcBorders>
              <w:top w:val="nil"/>
            </w:tcBorders>
          </w:tcPr>
          <w:p>
            <w:pPr>
              <w:rPr>
                <w:sz w:val="2"/>
                <w:szCs w:val="2"/>
              </w:rPr>
            </w:pPr>
          </w:p>
        </w:tc>
        <w:tc>
          <w:tcPr>
            <w:tcW w:w="1858" w:type="dxa"/>
          </w:tcPr>
          <w:p>
            <w:pPr>
              <w:pStyle w:val="TableParagraph"/>
              <w:spacing w:before="56"/>
              <w:ind w:left="56" w:right="82"/>
              <w:rPr>
                <w:sz w:val="20"/>
              </w:rPr>
            </w:pPr>
            <w:r>
              <w:rPr>
                <w:color w:val="666666"/>
                <w:sz w:val="20"/>
              </w:rPr>
              <w:t>RFR – Return from Reserve/Abeyance</w:t>
            </w:r>
          </w:p>
        </w:tc>
        <w:tc>
          <w:tcPr>
            <w:tcW w:w="3601" w:type="dxa"/>
          </w:tcPr>
          <w:p>
            <w:pPr>
              <w:pStyle w:val="TableParagraph"/>
              <w:ind w:left="55"/>
              <w:rPr>
                <w:sz w:val="20"/>
              </w:rPr>
            </w:pPr>
            <w:r>
              <w:rPr>
                <w:color w:val="666666"/>
                <w:sz w:val="20"/>
              </w:rPr>
              <w:t>RFR – Return to Normal Appointment</w:t>
            </w:r>
          </w:p>
        </w:tc>
        <w:tc>
          <w:tcPr>
            <w:tcW w:w="8096" w:type="dxa"/>
          </w:tcPr>
          <w:p>
            <w:pPr>
              <w:pStyle w:val="TableParagraph"/>
              <w:ind w:left="61"/>
              <w:rPr>
                <w:sz w:val="20"/>
              </w:rPr>
            </w:pPr>
            <w:r>
              <w:rPr>
                <w:color w:val="666666"/>
                <w:sz w:val="20"/>
              </w:rPr>
              <w:t>Used to return an employee from reserve.</w:t>
            </w:r>
          </w:p>
        </w:tc>
      </w:tr>
      <w:tr>
        <w:trPr>
          <w:trHeight w:val="1329" w:hRule="atLeast"/>
        </w:trPr>
        <w:tc>
          <w:tcPr>
            <w:tcW w:w="1508" w:type="dxa"/>
            <w:vMerge/>
            <w:tcBorders>
              <w:top w:val="nil"/>
            </w:tcBorders>
          </w:tcPr>
          <w:p>
            <w:pPr>
              <w:rPr>
                <w:sz w:val="2"/>
                <w:szCs w:val="2"/>
              </w:rPr>
            </w:pPr>
          </w:p>
        </w:tc>
        <w:tc>
          <w:tcPr>
            <w:tcW w:w="1858" w:type="dxa"/>
            <w:vMerge w:val="restart"/>
          </w:tcPr>
          <w:p>
            <w:pPr>
              <w:pStyle w:val="TableParagraph"/>
              <w:spacing w:before="56"/>
              <w:ind w:left="56" w:right="93"/>
              <w:rPr>
                <w:sz w:val="20"/>
              </w:rPr>
            </w:pPr>
            <w:r>
              <w:rPr>
                <w:color w:val="666666"/>
                <w:sz w:val="20"/>
              </w:rPr>
              <w:t>SWB – Short Work Break</w:t>
            </w:r>
          </w:p>
        </w:tc>
        <w:tc>
          <w:tcPr>
            <w:tcW w:w="3601" w:type="dxa"/>
          </w:tcPr>
          <w:p>
            <w:pPr>
              <w:pStyle w:val="TableParagraph"/>
              <w:ind w:left="56"/>
              <w:rPr>
                <w:sz w:val="20"/>
              </w:rPr>
            </w:pPr>
            <w:r>
              <w:rPr>
                <w:color w:val="666666"/>
                <w:sz w:val="20"/>
              </w:rPr>
              <w:t>FLT – Floaters/TOPS</w:t>
            </w:r>
          </w:p>
        </w:tc>
        <w:tc>
          <w:tcPr>
            <w:tcW w:w="8096" w:type="dxa"/>
          </w:tcPr>
          <w:p>
            <w:pPr>
              <w:pStyle w:val="TableParagraph"/>
              <w:ind w:left="62"/>
              <w:rPr>
                <w:sz w:val="20"/>
              </w:rPr>
            </w:pPr>
            <w:r>
              <w:rPr>
                <w:color w:val="666666"/>
                <w:sz w:val="20"/>
              </w:rPr>
              <w:t>Used for floater employees during periods of inactivity.</w:t>
            </w:r>
          </w:p>
          <w:p>
            <w:pPr>
              <w:pStyle w:val="TableParagraph"/>
              <w:spacing w:line="237" w:lineRule="auto" w:before="60"/>
              <w:ind w:left="62" w:right="153"/>
              <w:rPr>
                <w:sz w:val="20"/>
              </w:rPr>
            </w:pPr>
            <w:r>
              <w:rPr>
                <w:color w:val="666666"/>
                <w:sz w:val="20"/>
              </w:rPr>
              <w:t>Criteria: Limited to 4 consecutive calendar months. SWB can only be used when the department intends for the floater to return to employment following the SWB. If this is unknown, the employee should be terminated. The SWB should not exceed the floater's job record end date.</w:t>
            </w:r>
          </w:p>
        </w:tc>
      </w:tr>
      <w:tr>
        <w:trPr>
          <w:trHeight w:val="1329"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LMT – Limited Employees</w:t>
            </w:r>
          </w:p>
        </w:tc>
        <w:tc>
          <w:tcPr>
            <w:tcW w:w="8096" w:type="dxa"/>
          </w:tcPr>
          <w:p>
            <w:pPr>
              <w:pStyle w:val="TableParagraph"/>
              <w:ind w:left="62"/>
              <w:rPr>
                <w:sz w:val="20"/>
              </w:rPr>
            </w:pPr>
            <w:r>
              <w:rPr>
                <w:color w:val="666666"/>
                <w:sz w:val="20"/>
              </w:rPr>
              <w:t>Used for limited employees off pay status.</w:t>
            </w:r>
          </w:p>
          <w:p>
            <w:pPr>
              <w:pStyle w:val="TableParagraph"/>
              <w:spacing w:before="58"/>
              <w:ind w:left="62" w:right="44"/>
              <w:rPr>
                <w:sz w:val="20"/>
              </w:rPr>
            </w:pPr>
            <w:r>
              <w:rPr>
                <w:color w:val="666666"/>
                <w:sz w:val="20"/>
              </w:rPr>
              <w:t>Criteria: Limited to 4 consecutive calendar months. SWB can only be used when the department intends for the limited employee to return to employment following the SWB. If this is unknown, the employee should be terminated. The SWB should not exceed the employee’s job record end date.</w:t>
            </w: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P09 – Partial Year Career - 09 Months</w:t>
            </w:r>
          </w:p>
        </w:tc>
        <w:tc>
          <w:tcPr>
            <w:tcW w:w="8096" w:type="dxa"/>
          </w:tcPr>
          <w:p>
            <w:pPr>
              <w:pStyle w:val="TableParagraph"/>
              <w:ind w:left="62"/>
              <w:rPr>
                <w:sz w:val="20"/>
              </w:rPr>
            </w:pPr>
            <w:r>
              <w:rPr>
                <w:color w:val="666666"/>
                <w:sz w:val="20"/>
              </w:rPr>
              <w:t>Used to place a 9 month PY Career employee on Short Work Break.</w:t>
            </w: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P10 – Partial Year Career - 10 Months</w:t>
            </w:r>
          </w:p>
        </w:tc>
        <w:tc>
          <w:tcPr>
            <w:tcW w:w="8096" w:type="dxa"/>
          </w:tcPr>
          <w:p>
            <w:pPr>
              <w:pStyle w:val="TableParagraph"/>
              <w:ind w:left="62"/>
              <w:rPr>
                <w:sz w:val="20"/>
              </w:rPr>
            </w:pPr>
            <w:r>
              <w:rPr>
                <w:color w:val="666666"/>
                <w:sz w:val="20"/>
              </w:rPr>
              <w:t>Used to place a 10- month PY Career employee on Short Work Break.</w:t>
            </w: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P11 – Partial Year Career - 11 Months</w:t>
            </w:r>
          </w:p>
        </w:tc>
        <w:tc>
          <w:tcPr>
            <w:tcW w:w="8096" w:type="dxa"/>
          </w:tcPr>
          <w:p>
            <w:pPr>
              <w:pStyle w:val="TableParagraph"/>
              <w:ind w:left="62"/>
              <w:rPr>
                <w:sz w:val="20"/>
              </w:rPr>
            </w:pPr>
            <w:r>
              <w:rPr>
                <w:color w:val="666666"/>
                <w:sz w:val="20"/>
              </w:rPr>
              <w:t>Used to place an 11 month PY Career employee on Short Work Break.</w:t>
            </w:r>
          </w:p>
        </w:tc>
      </w:tr>
      <w:tr>
        <w:trPr>
          <w:trHeight w:val="1559"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UST – Staff Students</w:t>
            </w:r>
          </w:p>
        </w:tc>
        <w:tc>
          <w:tcPr>
            <w:tcW w:w="8096" w:type="dxa"/>
          </w:tcPr>
          <w:p>
            <w:pPr>
              <w:pStyle w:val="TableParagraph"/>
              <w:spacing w:before="55"/>
              <w:ind w:left="62" w:right="699"/>
              <w:rPr>
                <w:sz w:val="20"/>
              </w:rPr>
            </w:pPr>
            <w:r>
              <w:rPr>
                <w:color w:val="666666"/>
                <w:sz w:val="20"/>
              </w:rPr>
              <w:t>Used to put undergraduate students (covered under PPSM) off pay status over the summer or in between quarters/semesters.</w:t>
            </w:r>
          </w:p>
          <w:p>
            <w:pPr>
              <w:pStyle w:val="TableParagraph"/>
              <w:spacing w:before="66"/>
              <w:ind w:left="62" w:right="133"/>
              <w:rPr>
                <w:sz w:val="20"/>
              </w:rPr>
            </w:pPr>
            <w:r>
              <w:rPr>
                <w:color w:val="666666"/>
                <w:sz w:val="20"/>
              </w:rPr>
              <w:t>Criteria: Limited to 4 consecutive calendar months. SWB can only be used when the department intends for the student employee to return to employment following the SWB. If this is unknown, the student employee should be terminated. The SWB should not exceed the student's job record end date.</w:t>
            </w:r>
          </w:p>
        </w:tc>
      </w:tr>
      <w:tr>
        <w:trPr>
          <w:trHeight w:val="350" w:hRule="atLeast"/>
        </w:trPr>
        <w:tc>
          <w:tcPr>
            <w:tcW w:w="1508" w:type="dxa"/>
            <w:vMerge/>
            <w:tcBorders>
              <w:top w:val="nil"/>
            </w:tcBorders>
          </w:tcPr>
          <w:p>
            <w:pPr>
              <w:rPr>
                <w:sz w:val="2"/>
                <w:szCs w:val="2"/>
              </w:rPr>
            </w:pPr>
          </w:p>
        </w:tc>
        <w:tc>
          <w:tcPr>
            <w:tcW w:w="1858" w:type="dxa"/>
            <w:vMerge w:val="restart"/>
          </w:tcPr>
          <w:p>
            <w:pPr>
              <w:pStyle w:val="TableParagraph"/>
              <w:spacing w:before="56"/>
              <w:ind w:left="56" w:right="122"/>
              <w:rPr>
                <w:sz w:val="20"/>
              </w:rPr>
            </w:pPr>
            <w:r>
              <w:rPr>
                <w:color w:val="666666"/>
                <w:sz w:val="20"/>
              </w:rPr>
              <w:t>RWB – Return from Work Break</w:t>
            </w:r>
          </w:p>
        </w:tc>
        <w:tc>
          <w:tcPr>
            <w:tcW w:w="3601" w:type="dxa"/>
          </w:tcPr>
          <w:p>
            <w:pPr>
              <w:pStyle w:val="TableParagraph"/>
              <w:ind w:left="56"/>
              <w:rPr>
                <w:sz w:val="20"/>
              </w:rPr>
            </w:pPr>
            <w:r>
              <w:rPr>
                <w:color w:val="666666"/>
                <w:sz w:val="20"/>
              </w:rPr>
              <w:t>RWB - Return from Short Work Break</w:t>
            </w:r>
          </w:p>
        </w:tc>
        <w:tc>
          <w:tcPr>
            <w:tcW w:w="8096" w:type="dxa"/>
          </w:tcPr>
          <w:p>
            <w:pPr>
              <w:pStyle w:val="TableParagraph"/>
              <w:ind w:left="62"/>
              <w:rPr>
                <w:sz w:val="20"/>
              </w:rPr>
            </w:pPr>
            <w:r>
              <w:rPr>
                <w:color w:val="666666"/>
                <w:sz w:val="20"/>
              </w:rPr>
              <w:t>Used to return an employee from Short Work Break.</w:t>
            </w: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P09 – Partial Year Career - 09 Months</w:t>
            </w:r>
          </w:p>
        </w:tc>
        <w:tc>
          <w:tcPr>
            <w:tcW w:w="8096" w:type="dxa"/>
          </w:tcPr>
          <w:p>
            <w:pPr>
              <w:pStyle w:val="TableParagraph"/>
              <w:ind w:left="62"/>
              <w:rPr>
                <w:sz w:val="20"/>
              </w:rPr>
            </w:pPr>
            <w:r>
              <w:rPr>
                <w:color w:val="666666"/>
                <w:sz w:val="20"/>
              </w:rPr>
              <w:t>Used to return a 9 month PY Career employee from Short Work Break.</w:t>
            </w:r>
          </w:p>
        </w:tc>
      </w:tr>
      <w:tr>
        <w:trPr>
          <w:trHeight w:val="349"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P10 – Partial Year Career - 10 Months</w:t>
            </w:r>
          </w:p>
        </w:tc>
        <w:tc>
          <w:tcPr>
            <w:tcW w:w="8096" w:type="dxa"/>
          </w:tcPr>
          <w:p>
            <w:pPr>
              <w:pStyle w:val="TableParagraph"/>
              <w:ind w:left="62"/>
              <w:rPr>
                <w:sz w:val="20"/>
              </w:rPr>
            </w:pPr>
            <w:r>
              <w:rPr>
                <w:color w:val="666666"/>
                <w:sz w:val="20"/>
              </w:rPr>
              <w:t>Used to return a 10- month PY Career employee from Short Work Break.</w:t>
            </w:r>
          </w:p>
        </w:tc>
      </w:tr>
      <w:tr>
        <w:trPr>
          <w:trHeight w:val="350" w:hRule="atLeast"/>
        </w:trPr>
        <w:tc>
          <w:tcPr>
            <w:tcW w:w="1508" w:type="dxa"/>
            <w:vMerge/>
            <w:tcBorders>
              <w:top w:val="nil"/>
            </w:tcBorders>
          </w:tcPr>
          <w:p>
            <w:pPr>
              <w:rPr>
                <w:sz w:val="2"/>
                <w:szCs w:val="2"/>
              </w:rPr>
            </w:pPr>
          </w:p>
        </w:tc>
        <w:tc>
          <w:tcPr>
            <w:tcW w:w="1858" w:type="dxa"/>
            <w:vMerge/>
            <w:tcBorders>
              <w:top w:val="nil"/>
            </w:tcBorders>
          </w:tcPr>
          <w:p>
            <w:pPr>
              <w:rPr>
                <w:sz w:val="2"/>
                <w:szCs w:val="2"/>
              </w:rPr>
            </w:pPr>
          </w:p>
        </w:tc>
        <w:tc>
          <w:tcPr>
            <w:tcW w:w="3601" w:type="dxa"/>
          </w:tcPr>
          <w:p>
            <w:pPr>
              <w:pStyle w:val="TableParagraph"/>
              <w:ind w:left="56"/>
              <w:rPr>
                <w:sz w:val="20"/>
              </w:rPr>
            </w:pPr>
            <w:r>
              <w:rPr>
                <w:color w:val="666666"/>
                <w:sz w:val="20"/>
              </w:rPr>
              <w:t>P11 – Partial Year Career - 11 Months</w:t>
            </w:r>
          </w:p>
        </w:tc>
        <w:tc>
          <w:tcPr>
            <w:tcW w:w="8096" w:type="dxa"/>
          </w:tcPr>
          <w:p>
            <w:pPr>
              <w:pStyle w:val="TableParagraph"/>
              <w:ind w:left="62"/>
              <w:rPr>
                <w:sz w:val="20"/>
              </w:rPr>
            </w:pPr>
            <w:r>
              <w:rPr>
                <w:color w:val="666666"/>
                <w:sz w:val="20"/>
              </w:rPr>
              <w:t>Used to return an 11 month PY Career employee from Short Work Break.</w:t>
            </w:r>
          </w:p>
        </w:tc>
      </w:tr>
    </w:tbl>
    <w:p>
      <w:pPr>
        <w:spacing w:after="0"/>
        <w:rPr>
          <w:sz w:val="20"/>
        </w:rPr>
        <w:sectPr>
          <w:pgSz w:w="15840" w:h="12240" w:orient="landscape"/>
          <w:pgMar w:header="316" w:footer="351" w:top="1600" w:bottom="540" w:left="260" w:right="280"/>
        </w:sectPr>
      </w:pPr>
    </w:p>
    <w:p>
      <w:pPr>
        <w:pStyle w:val="BodyText"/>
        <w:spacing w:before="4"/>
        <w:rPr>
          <w:rFonts w:ascii="Times New Roman"/>
          <w:sz w:val="17"/>
        </w:rPr>
      </w:pPr>
    </w:p>
    <w:sectPr>
      <w:pgSz w:w="15840" w:h="12240" w:orient="landscape"/>
      <w:pgMar w:header="316" w:footer="351" w:top="1600" w:bottom="540" w:left="26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17pt;margin-top:579.452515pt;width:183.45pt;height:12.1pt;mso-position-horizontal-relative:page;mso-position-vertical-relative:page;z-index:-23728" type="#_x0000_t202" filled="false" stroked="false">
          <v:textbox inset="0,0,0,0">
            <w:txbxContent>
              <w:p>
                <w:pPr>
                  <w:pStyle w:val="BodyText"/>
                  <w:ind w:left="20"/>
                </w:pPr>
                <w:r>
                  <w:rPr>
                    <w:color w:val="666666"/>
                  </w:rPr>
                  <w:t>UCPATH.UNIVERSITYOFCALIFORNIA.EDU</w:t>
                </w:r>
              </w:p>
            </w:txbxContent>
          </v:textbox>
          <w10:wrap type="none"/>
        </v:shape>
      </w:pict>
    </w:r>
    <w:r>
      <w:rPr/>
      <w:pict>
        <v:shape style="position:absolute;margin-left:347.839996pt;margin-top:579.452515pt;width:97.05pt;height:12.1pt;mso-position-horizontal-relative:page;mso-position-vertical-relative:page;z-index:-23704" type="#_x0000_t202" filled="false" stroked="false">
          <v:textbox inset="0,0,0,0">
            <w:txbxContent>
              <w:p>
                <w:pPr>
                  <w:pStyle w:val="BodyText"/>
                  <w:ind w:left="20"/>
                </w:pPr>
                <w:r>
                  <w:rPr>
                    <w:color w:val="666666"/>
                  </w:rPr>
                  <w:t>Last updated 3/16/2019</w:t>
                </w:r>
              </w:p>
            </w:txbxContent>
          </v:textbox>
          <w10:wrap type="none"/>
        </v:shape>
      </w:pict>
    </w:r>
    <w:r>
      <w:rPr/>
      <w:pict>
        <v:shape style="position:absolute;margin-left:726.919983pt;margin-top:579.452515pt;width:48.45pt;height:12.1pt;mso-position-horizontal-relative:page;mso-position-vertical-relative:page;z-index:-23680" type="#_x0000_t202" filled="false" stroked="false">
          <v:textbox inset="0,0,0,0">
            <w:txbxContent>
              <w:p>
                <w:pPr>
                  <w:pStyle w:val="BodyText"/>
                  <w:ind w:left="20"/>
                </w:pPr>
                <w:r>
                  <w:rPr>
                    <w:color w:val="666666"/>
                  </w:rPr>
                  <w:t>Page 1 of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line style="position:absolute;mso-position-horizontal-relative:page;mso-position-vertical-relative:page;z-index:-23656" from="16.559999pt,576.900024pt" to="775.439999pt,576.900024pt" stroked="true" strokeweight=".36pt" strokecolor="#00778b">
          <v:stroke dashstyle="solid"/>
          <w10:wrap type="none"/>
        </v:line>
      </w:pict>
    </w:r>
    <w:r>
      <w:rPr/>
      <w:pict>
        <v:shape style="position:absolute;margin-left:17pt;margin-top:579.452515pt;width:183.45pt;height:12.1pt;mso-position-horizontal-relative:page;mso-position-vertical-relative:page;z-index:-23632" type="#_x0000_t202" filled="false" stroked="false">
          <v:textbox inset="0,0,0,0">
            <w:txbxContent>
              <w:p>
                <w:pPr>
                  <w:pStyle w:val="BodyText"/>
                  <w:ind w:left="20"/>
                </w:pPr>
                <w:r>
                  <w:rPr>
                    <w:color w:val="666666"/>
                  </w:rPr>
                  <w:t>UCPATH.UNIVERSITYOFCALIFORNIA.EDU</w:t>
                </w:r>
              </w:p>
            </w:txbxContent>
          </v:textbox>
          <w10:wrap type="none"/>
        </v:shape>
      </w:pict>
    </w:r>
    <w:r>
      <w:rPr/>
      <w:pict>
        <v:shape style="position:absolute;margin-left:347.839996pt;margin-top:579.452515pt;width:97.05pt;height:12.1pt;mso-position-horizontal-relative:page;mso-position-vertical-relative:page;z-index:-23608" type="#_x0000_t202" filled="false" stroked="false">
          <v:textbox inset="0,0,0,0">
            <w:txbxContent>
              <w:p>
                <w:pPr>
                  <w:pStyle w:val="BodyText"/>
                  <w:ind w:left="20"/>
                </w:pPr>
                <w:r>
                  <w:rPr>
                    <w:color w:val="666666"/>
                  </w:rPr>
                  <w:t>Last updated 3/16/2019</w:t>
                </w:r>
              </w:p>
            </w:txbxContent>
          </v:textbox>
          <w10:wrap type="none"/>
        </v:shape>
      </w:pict>
    </w:r>
    <w:r>
      <w:rPr/>
      <w:pict>
        <v:shape style="position:absolute;margin-left:726.919983pt;margin-top:579.452515pt;width:48.45pt;height:12.1pt;mso-position-horizontal-relative:page;mso-position-vertical-relative:page;z-index:-23584" type="#_x0000_t202" filled="false" stroked="false">
          <v:textbox inset="0,0,0,0">
            <w:txbxContent>
              <w:p>
                <w:pPr>
                  <w:pStyle w:val="BodyText"/>
                  <w:ind w:left="20"/>
                </w:pPr>
                <w:r>
                  <w:rPr>
                    <w:color w:val="666666"/>
                  </w:rPr>
                  <w:t>Page </w:t>
                </w:r>
                <w:r>
                  <w:rPr/>
                  <w:fldChar w:fldCharType="begin"/>
                </w:r>
                <w:r>
                  <w:rPr>
                    <w:color w:val="666666"/>
                  </w:rPr>
                  <w:instrText> PAGE </w:instrText>
                </w:r>
                <w:r>
                  <w:rPr/>
                  <w:fldChar w:fldCharType="separate"/>
                </w:r>
                <w:r>
                  <w:rPr/>
                  <w:t>2</w:t>
                </w:r>
                <w:r>
                  <w:rPr/>
                  <w:fldChar w:fldCharType="end"/>
                </w:r>
                <w:r>
                  <w:rPr>
                    <w:color w:val="666666"/>
                  </w:rPr>
                  <w:t> of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11703">
          <wp:simplePos x="0" y="0"/>
          <wp:positionH relativeFrom="page">
            <wp:posOffset>228600</wp:posOffset>
          </wp:positionH>
          <wp:positionV relativeFrom="page">
            <wp:posOffset>200648</wp:posOffset>
          </wp:positionV>
          <wp:extent cx="9594138" cy="82549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594138" cy="82549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4"/>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63"/>
      <w:ind w:left="58"/>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F6985-395A-40C1-9E46-2FEB4B13D4B0}"/>
</file>

<file path=customXml/itemProps2.xml><?xml version="1.0" encoding="utf-8"?>
<ds:datastoreItem xmlns:ds="http://schemas.openxmlformats.org/officeDocument/2006/customXml" ds:itemID="{4D83226E-25F9-46A6-82C1-D3415B667846}"/>
</file>

<file path=customXml/itemProps3.xml><?xml version="1.0" encoding="utf-8"?>
<ds:datastoreItem xmlns:ds="http://schemas.openxmlformats.org/officeDocument/2006/customXml" ds:itemID="{814AE218-503E-482D-B123-8204C867175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PayPath Transactions - Action Reason Codes and Descriptions (Staff)</dc:title>
  <dc:creator>Dana Allen</dc:creator>
  <dcterms:created xsi:type="dcterms:W3CDTF">2019-03-18T17:34:05Z</dcterms:created>
  <dcterms:modified xsi:type="dcterms:W3CDTF">2019-03-18T17:34:05Z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2019-03-16T00:00:00Z</vt:filetime>
  </property>
  <property fmtid="{D5CDD505-2E9C-101B-9397-08002B2CF9AE}" pid="3" name="Creator">
    <vt:lpwstr>Acrobat PDFMaker 15 for Word</vt:lpwstr>
  </property>
  <property fmtid="{D5CDD505-2E9C-101B-9397-08002B2CF9AE}" pid="4" name="LastSaved">
    <vt:filetime>2019-03-18T00:00:00Z</vt:filetime>
  </property>
  <property fmtid="{D5CDD505-2E9C-101B-9397-08002B2CF9AE}" pid="5" name="ContentTypeId">
    <vt:lpwstr>0x010100CDBB083BF9FF644EB6925F3F8AA77806</vt:lpwstr>
  </property>
</Properties>
</file>